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13.080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B65</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土壤质量 土壤全量硅、铝、铁、钾、钠、钙、镁、锰、磷、钛、硫的测定</w:t>
      </w:r>
      <w:r>
        <w:cr/>
      </w:r>
      <w:r>
        <w:t>单波长激发-能量色散X射线荧光光谱法</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Soil quality</w:t>
      </w:r>
      <w:r>
        <w:rPr>
          <w:rFonts w:hint="eastAsia" w:eastAsia="黑体"/>
          <w:szCs w:val="28"/>
        </w:rPr>
        <w:t>-</w:t>
      </w:r>
      <w:r>
        <w:rPr>
          <w:rFonts w:eastAsia="黑体"/>
          <w:szCs w:val="28"/>
        </w:rPr>
        <w:t xml:space="preserve">Determination of total silicon,aluminum,iron,potassium,sodium,calcium,magnesium,manganese,phosphorus,titanium and sulfur </w:t>
      </w:r>
      <w:r>
        <w:rPr>
          <w:rFonts w:hint="eastAsia" w:eastAsia="黑体"/>
          <w:szCs w:val="28"/>
        </w:rPr>
        <w:t>-</w:t>
      </w:r>
      <w:r>
        <w:rPr>
          <w:rFonts w:eastAsia="黑体"/>
          <w:szCs w:val="28"/>
        </w:rPr>
        <w:t>Monochromatic excitation energy dispersion X-ray fluorescence spectrometry</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bookmarkStart w:id="122"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22"/>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21" w:name="BookMark1"/>
      <w:bookmarkStart w:id="22" w:name="_Toc121814033"/>
      <w:r>
        <w:rPr>
          <w:rFonts w:hint="eastAsia"/>
          <w:spacing w:val="320"/>
        </w:rPr>
        <w:t>目</w:t>
      </w:r>
      <w:r>
        <w:rPr>
          <w:rFonts w:hint="eastAsia"/>
        </w:rPr>
        <w:t>次</w:t>
      </w:r>
    </w:p>
    <w:p>
      <w:pPr>
        <w:pStyle w:val="19"/>
        <w:tabs>
          <w:tab w:val="right" w:leader="dot" w:pos="9344"/>
        </w:tabs>
        <w:rPr>
          <w:rFonts w:ascii="Times New Roman" w:hAnsi="Times New Roman"/>
          <w:szCs w:val="22"/>
        </w:rPr>
      </w:pPr>
      <w:r>
        <w:fldChar w:fldCharType="begin"/>
      </w:r>
      <w:r>
        <w:instrText xml:space="preserve"> TOC \o "1-1" \h </w:instrText>
      </w:r>
      <w:r>
        <w:fldChar w:fldCharType="separate"/>
      </w:r>
      <w:r>
        <w:fldChar w:fldCharType="begin"/>
      </w:r>
      <w:r>
        <w:instrText xml:space="preserve"> HYPERLINK \l "_Toc124409534" </w:instrText>
      </w:r>
      <w:r>
        <w:fldChar w:fldCharType="separate"/>
      </w:r>
      <w:r>
        <w:rPr>
          <w:rStyle w:val="32"/>
          <w:rFonts w:ascii="Times New Roman"/>
          <w:spacing w:val="320"/>
        </w:rPr>
        <w:t>前</w:t>
      </w:r>
      <w:r>
        <w:rPr>
          <w:rStyle w:val="32"/>
          <w:rFonts w:ascii="Times New Roman"/>
        </w:rPr>
        <w:t>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_Toc124409534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"_Toc124409535" </w:instrText>
      </w:r>
      <w:r>
        <w:fldChar w:fldCharType="separate"/>
      </w:r>
      <w:r>
        <w:rPr>
          <w:rStyle w:val="32"/>
          <w:rFonts w:ascii="Times New Roman"/>
        </w:rPr>
        <w:t>1 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_Toc124409535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"_Toc124409536" </w:instrText>
      </w:r>
      <w:r>
        <w:fldChar w:fldCharType="separate"/>
      </w:r>
      <w:r>
        <w:rPr>
          <w:rStyle w:val="32"/>
          <w:rFonts w:ascii="Times New Roman"/>
        </w:rPr>
        <w:t>2 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_Toc124409536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"_Toc124409537" </w:instrText>
      </w:r>
      <w:r>
        <w:fldChar w:fldCharType="separate"/>
      </w:r>
      <w:r>
        <w:rPr>
          <w:rStyle w:val="32"/>
          <w:rFonts w:ascii="Times New Roman"/>
        </w:rPr>
        <w:t>3 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_Toc124409537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"_Toc124409538" </w:instrText>
      </w:r>
      <w:r>
        <w:fldChar w:fldCharType="separate"/>
      </w:r>
      <w:r>
        <w:rPr>
          <w:rStyle w:val="32"/>
          <w:rFonts w:ascii="Times New Roman"/>
        </w:rPr>
        <w:t>4 方法原理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_Toc124409538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"_Toc124409539" </w:instrText>
      </w:r>
      <w:r>
        <w:fldChar w:fldCharType="separate"/>
      </w:r>
      <w:r>
        <w:rPr>
          <w:rStyle w:val="32"/>
          <w:rFonts w:ascii="Times New Roman"/>
        </w:rPr>
        <w:t>5 干扰和消除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_Toc124409539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"_Toc124409540" </w:instrText>
      </w:r>
      <w:r>
        <w:fldChar w:fldCharType="separate"/>
      </w:r>
      <w:r>
        <w:rPr>
          <w:rStyle w:val="32"/>
          <w:rFonts w:ascii="Times New Roman"/>
        </w:rPr>
        <w:t>6 试剂和材料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_Toc124409540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"_Toc124409541" </w:instrText>
      </w:r>
      <w:r>
        <w:fldChar w:fldCharType="separate"/>
      </w:r>
      <w:r>
        <w:rPr>
          <w:rStyle w:val="32"/>
          <w:rFonts w:ascii="Times New Roman"/>
        </w:rPr>
        <w:t>7 仪器和设备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_Toc124409541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"_Toc124409542" </w:instrText>
      </w:r>
      <w:r>
        <w:fldChar w:fldCharType="separate"/>
      </w:r>
      <w:r>
        <w:rPr>
          <w:rStyle w:val="32"/>
          <w:rFonts w:ascii="Times New Roman"/>
        </w:rPr>
        <w:t>8 样品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_Toc124409542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"_Toc124409543" </w:instrText>
      </w:r>
      <w:r>
        <w:fldChar w:fldCharType="separate"/>
      </w:r>
      <w:r>
        <w:rPr>
          <w:rStyle w:val="32"/>
          <w:rFonts w:ascii="Times New Roman"/>
        </w:rPr>
        <w:t>9 分析步骤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_Toc124409543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"_Toc124409544" </w:instrText>
      </w:r>
      <w:r>
        <w:fldChar w:fldCharType="separate"/>
      </w:r>
      <w:r>
        <w:rPr>
          <w:rStyle w:val="32"/>
          <w:rFonts w:ascii="Times New Roman"/>
        </w:rPr>
        <w:t>10 结果计算与表示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_Toc124409544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"_Toc124409545" </w:instrText>
      </w:r>
      <w:r>
        <w:fldChar w:fldCharType="separate"/>
      </w:r>
      <w:r>
        <w:rPr>
          <w:rStyle w:val="32"/>
          <w:rFonts w:ascii="Times New Roman"/>
        </w:rPr>
        <w:t>11 精密度和准确度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_Toc124409545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"_Toc124409546" </w:instrText>
      </w:r>
      <w:r>
        <w:fldChar w:fldCharType="separate"/>
      </w:r>
      <w:r>
        <w:rPr>
          <w:rStyle w:val="32"/>
          <w:rFonts w:ascii="Times New Roman"/>
        </w:rPr>
        <w:t>12 质量保证和控制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_Toc124409546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"_Toc124409547" </w:instrText>
      </w:r>
      <w:r>
        <w:fldChar w:fldCharType="separate"/>
      </w:r>
      <w:r>
        <w:rPr>
          <w:rStyle w:val="32"/>
          <w:rFonts w:ascii="Times New Roman"/>
        </w:rPr>
        <w:t>13 注意事项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_Toc124409547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"_Toc124409548" </w:instrText>
      </w:r>
      <w:r>
        <w:fldChar w:fldCharType="separate"/>
      </w:r>
      <w:r>
        <w:rPr>
          <w:rStyle w:val="32"/>
          <w:rFonts w:ascii="Times New Roman"/>
          <w:spacing w:val="100"/>
        </w:rPr>
        <w:t>附录A</w:t>
      </w:r>
      <w:r>
        <w:rPr>
          <w:rStyle w:val="32"/>
          <w:rFonts w:ascii="Times New Roman"/>
        </w:rPr>
        <w:t xml:space="preserve"> （资料性） 方法检出限和定量限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_Toc124409548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"_Toc124409549" </w:instrText>
      </w:r>
      <w:r>
        <w:fldChar w:fldCharType="separate"/>
      </w:r>
      <w:r>
        <w:rPr>
          <w:rStyle w:val="32"/>
          <w:rFonts w:ascii="Times New Roman"/>
          <w:spacing w:val="100"/>
        </w:rPr>
        <w:t>附录B</w:t>
      </w:r>
      <w:r>
        <w:rPr>
          <w:rStyle w:val="32"/>
          <w:rFonts w:ascii="Times New Roman"/>
        </w:rPr>
        <w:t xml:space="preserve"> （资料性） 单波长激发-能量色散X射线荧光光谱仪仪器条件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_Toc124409549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imes New Roman" w:hAnsi="Times New Roman"/>
          <w:szCs w:val="22"/>
        </w:rPr>
      </w:pPr>
      <w:r>
        <w:fldChar w:fldCharType="begin"/>
      </w:r>
      <w:r>
        <w:instrText xml:space="preserve"> HYPERLINK \l "_Toc124409550" </w:instrText>
      </w:r>
      <w:r>
        <w:fldChar w:fldCharType="separate"/>
      </w:r>
      <w:r>
        <w:rPr>
          <w:rStyle w:val="32"/>
          <w:rFonts w:ascii="Times New Roman"/>
          <w:spacing w:val="100"/>
        </w:rPr>
        <w:t>附录C</w:t>
      </w:r>
      <w:r>
        <w:rPr>
          <w:rStyle w:val="32"/>
          <w:rFonts w:ascii="Times New Roman"/>
        </w:rPr>
        <w:t xml:space="preserve"> （资料性） 各元素含量范围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_Toc124409550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"_Toc124409551" </w:instrText>
      </w:r>
      <w:r>
        <w:fldChar w:fldCharType="separate"/>
      </w:r>
      <w:r>
        <w:rPr>
          <w:rStyle w:val="32"/>
          <w:rFonts w:ascii="Times New Roman"/>
          <w:spacing w:val="100"/>
        </w:rPr>
        <w:t>附录D</w:t>
      </w:r>
      <w:r>
        <w:rPr>
          <w:rStyle w:val="32"/>
          <w:rFonts w:ascii="Times New Roman"/>
        </w:rPr>
        <w:t xml:space="preserve"> （资料性） 方法精密度和准确性汇总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_Toc124409551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pStyle w:val="91"/>
        <w:spacing w:after="36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pPr>
        <w:pStyle w:val="89"/>
        <w:spacing w:after="360"/>
      </w:pPr>
      <w:bookmarkStart w:id="23" w:name="_Toc124409534"/>
      <w:bookmarkStart w:id="24" w:name="BookMark2"/>
      <w:r>
        <w:rPr>
          <w:spacing w:val="320"/>
        </w:rPr>
        <w:t>前</w:t>
      </w:r>
      <w:r>
        <w:t>言</w:t>
      </w:r>
      <w:bookmarkEnd w:id="22"/>
      <w:bookmarkEnd w:id="23"/>
    </w:p>
    <w:p>
      <w:pPr>
        <w:pStyle w:val="56"/>
        <w:ind w:firstLine="420"/>
        <w:rPr>
          <w:rFonts w:ascii="Times New Roman"/>
        </w:rPr>
      </w:pPr>
      <w:r>
        <w:rPr>
          <w:rFonts w:hint="eastAsia" w:ascii="Times New Roman"/>
        </w:rPr>
        <w:t>本文件按照GB/T 1.1—2020《标准化工作导则  第1部分：标准化文件的结构和起草规则》的规定起草。</w:t>
      </w:r>
    </w:p>
    <w:p>
      <w:pPr>
        <w:pStyle w:val="56"/>
        <w:ind w:firstLine="420"/>
        <w:rPr>
          <w:rFonts w:ascii="Times New Roman"/>
        </w:rPr>
      </w:pPr>
      <w:r>
        <w:rPr>
          <w:rFonts w:hint="eastAsia" w:ascii="Times New Roman"/>
        </w:rPr>
        <w:t>本文件由江苏省环境科学学会提出并归口。</w:t>
      </w:r>
    </w:p>
    <w:p>
      <w:pPr>
        <w:pStyle w:val="56"/>
        <w:ind w:firstLine="420"/>
        <w:rPr>
          <w:rFonts w:ascii="Times New Roman"/>
        </w:rPr>
      </w:pPr>
      <w:r>
        <w:rPr>
          <w:rFonts w:hint="eastAsia" w:ascii="Times New Roman"/>
        </w:rPr>
        <w:t>本文件起草单位：中国科学院南京土壤研究所、江苏省地质调查研究院、江苏省地质勘查技术院、中国农业科学院农业质量标准与检测技术研究所、生态环境南京环境科学研究所、江苏省地质矿产局第三地质大队、南京大学现代分析中心、水利部交通运输部国家能源局南京水利科学研究院、浙江省生态环境监测中心、江苏省环境工程技术有限公司、国检测试控股集团江苏京城检测有限公司、北京安科慧生科技有限公司。</w:t>
      </w:r>
    </w:p>
    <w:p>
      <w:pPr>
        <w:pStyle w:val="56"/>
        <w:ind w:firstLine="420"/>
        <w:rPr>
          <w:rFonts w:ascii="Times New Roman"/>
        </w:rPr>
      </w:pPr>
      <w:r>
        <w:rPr>
          <w:rFonts w:hint="eastAsia" w:ascii="Times New Roman"/>
        </w:rPr>
        <w:t>本文件主要起草人：龚华、刘晓静、张孟群、朱睿、常青、王笑笑、孟攀攀、季海冰、张斌、毛雪飞、赵欣、焦龙进、陈求稳、邹丽。</w:t>
      </w:r>
    </w:p>
    <w:p>
      <w:pPr>
        <w:pStyle w:val="56"/>
        <w:ind w:firstLine="420"/>
      </w:pPr>
      <w:r>
        <w:rPr>
          <w:rFonts w:hint="eastAsia" w:ascii="Times New Roman"/>
        </w:rPr>
        <w:t>本文件为首次发布。</w:t>
      </w:r>
    </w:p>
    <w:p>
      <w:pPr>
        <w:pStyle w:val="56"/>
        <w:ind w:firstLine="420"/>
        <w:sectPr>
          <w:pgSz w:w="11906" w:h="16838"/>
          <w:pgMar w:top="1928" w:right="1134" w:bottom="1134" w:left="1134" w:header="1418" w:footer="1134" w:gutter="284"/>
          <w:pgNumType w:fmt="upperRoman"/>
          <w:cols w:space="425" w:num="1"/>
          <w:formProt w:val="0"/>
          <w:docGrid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D578C8E803A8457A891623DF39CB1F68"/>
        </w:placeholder>
      </w:sdtPr>
      <w:sdtContent>
        <w:p>
          <w:pPr>
            <w:pStyle w:val="177"/>
            <w:spacing w:before="2" w:beforeLines="1" w:after="2" w:afterLines="1"/>
          </w:pPr>
          <w:bookmarkStart w:id="26" w:name="NEW_STAND_NAME"/>
          <w:r>
            <w:rPr>
              <w:rFonts w:hint="eastAsia"/>
            </w:rPr>
            <w:t>土壤质量</w:t>
          </w:r>
          <w:r>
            <w:t xml:space="preserve"> 土壤全量硅、铝、铁、钾、钠、钙、镁、锰、磷、钛、硫的测定</w:t>
          </w:r>
        </w:p>
        <w:p>
          <w:pPr>
            <w:pStyle w:val="177"/>
            <w:spacing w:before="2" w:beforeLines="1" w:after="680"/>
          </w:pPr>
          <w:r>
            <w:rPr>
              <w:rFonts w:hint="eastAsia"/>
            </w:rPr>
            <w:t>单波长激发</w:t>
          </w:r>
          <w:r>
            <w:t>-能量色散X射线荧光光谱法</w:t>
          </w:r>
        </w:p>
      </w:sdtContent>
    </w:sdt>
    <w:bookmarkEnd w:id="26"/>
    <w:p>
      <w:pPr>
        <w:pStyle w:val="104"/>
        <w:spacing w:before="240" w:after="240"/>
      </w:pPr>
      <w:bookmarkStart w:id="27" w:name="_Toc24884211"/>
      <w:bookmarkStart w:id="28" w:name="_Toc26648465"/>
      <w:bookmarkStart w:id="29" w:name="_Toc17233325"/>
      <w:bookmarkStart w:id="30" w:name="_Toc17233333"/>
      <w:bookmarkStart w:id="31" w:name="_Toc24884218"/>
      <w:bookmarkStart w:id="32" w:name="_Toc26986771"/>
      <w:bookmarkStart w:id="33" w:name="_Toc26986530"/>
      <w:bookmarkStart w:id="34" w:name="_Toc26718930"/>
      <w:bookmarkStart w:id="35" w:name="_Toc97192964"/>
      <w:bookmarkStart w:id="36" w:name="_Toc121814034"/>
      <w:bookmarkStart w:id="37" w:name="_Toc124409535"/>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6"/>
        <w:ind w:firstLine="420"/>
        <w:rPr>
          <w:rFonts w:ascii="Times New Roman"/>
        </w:rPr>
      </w:pPr>
      <w:bookmarkStart w:id="38" w:name="_Toc17233326"/>
      <w:bookmarkStart w:id="39" w:name="_Toc17233334"/>
      <w:bookmarkStart w:id="40" w:name="_Toc24884212"/>
      <w:bookmarkStart w:id="41" w:name="_Toc26648466"/>
      <w:bookmarkStart w:id="42" w:name="_Toc24884219"/>
      <w:r>
        <w:rPr>
          <w:rFonts w:ascii="Times New Roman"/>
        </w:rPr>
        <w:t>本文件规定了测定土壤中全量硅（Si）、铝（Al）、铁（Fe）、钾（K）、钠（Na）、钙（Ca）、镁（Mg）、锰（Mn）、磷（P）、钛（Ti）、硫（S）元素的单波长激发-能量色散X射线荧光光谱法。</w:t>
      </w:r>
    </w:p>
    <w:p>
      <w:pPr>
        <w:pStyle w:val="56"/>
        <w:ind w:firstLine="420"/>
        <w:rPr>
          <w:rFonts w:ascii="Times New Roman"/>
        </w:rPr>
      </w:pPr>
      <w:r>
        <w:rPr>
          <w:rFonts w:ascii="Times New Roman"/>
        </w:rPr>
        <w:t>本文件适用于土壤中的硅（Si）、铝（Al）、铁（Fe）、钾（K）、钠（Na）、钙（Ca）、镁（Mg）、锰（Mn）、磷（P）、钛（Ti）、硫（S）元素的全量测定。</w:t>
      </w:r>
    </w:p>
    <w:p>
      <w:pPr>
        <w:pStyle w:val="56"/>
        <w:ind w:firstLine="420"/>
      </w:pPr>
      <w:r>
        <w:rPr>
          <w:rFonts w:ascii="Times New Roman"/>
        </w:rPr>
        <w:t>本文件在推荐的各元素特征谱线和测量条件下，方法检出限及定量限</w:t>
      </w:r>
      <w:r>
        <w:rPr>
          <w:rFonts w:hint="eastAsia" w:ascii="Times New Roman"/>
        </w:rPr>
        <w:t>参</w:t>
      </w:r>
      <w:r>
        <w:rPr>
          <w:rFonts w:ascii="Times New Roman"/>
        </w:rPr>
        <w:t>见附录A</w:t>
      </w:r>
      <w:r>
        <w:rPr>
          <w:rFonts w:hint="eastAsia" w:ascii="Times New Roman"/>
        </w:rPr>
        <w:t>。</w:t>
      </w:r>
    </w:p>
    <w:p>
      <w:pPr>
        <w:pStyle w:val="104"/>
        <w:spacing w:before="240" w:after="240"/>
      </w:pPr>
      <w:bookmarkStart w:id="43" w:name="_Toc26718931"/>
      <w:bookmarkStart w:id="44" w:name="_Toc26986531"/>
      <w:bookmarkStart w:id="45" w:name="_Toc26986772"/>
      <w:bookmarkStart w:id="46" w:name="_Toc121814035"/>
      <w:bookmarkStart w:id="47" w:name="_Toc97192965"/>
      <w:bookmarkStart w:id="48" w:name="_Toc124409536"/>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0D2AA98234C446BBB29325C36766A29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ascii="Times New Roman"/>
        </w:rPr>
      </w:pPr>
      <w:r>
        <w:rPr>
          <w:rFonts w:ascii="Times New Roman"/>
        </w:rPr>
        <w:t>HJ/T 166 土壤环境监测技术规范</w:t>
      </w:r>
    </w:p>
    <w:p>
      <w:pPr>
        <w:pStyle w:val="104"/>
        <w:spacing w:before="240" w:after="240"/>
      </w:pPr>
      <w:bookmarkStart w:id="49" w:name="_Toc124409537"/>
      <w:bookmarkStart w:id="50" w:name="_Toc97192966"/>
      <w:bookmarkStart w:id="51" w:name="_Toc121814036"/>
      <w:r>
        <w:rPr>
          <w:rFonts w:hint="eastAsia"/>
          <w:szCs w:val="21"/>
        </w:rPr>
        <w:t>术语和定义</w:t>
      </w:r>
      <w:bookmarkEnd w:id="49"/>
      <w:bookmarkEnd w:id="50"/>
      <w:bookmarkEnd w:id="51"/>
    </w:p>
    <w:sdt>
      <w:sdtPr>
        <w:id w:val="-1909835108"/>
        <w:placeholder>
          <w:docPart w:val="E34E8BC7B5B7408B8C14604A403118A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2" w:name="_Toc26986532"/>
          <w:bookmarkEnd w:id="52"/>
          <w:r>
            <w:t>本文件没有需要界定的术语和定义。</w:t>
          </w:r>
        </w:p>
      </w:sdtContent>
    </w:sdt>
    <w:p>
      <w:pPr>
        <w:pStyle w:val="104"/>
        <w:spacing w:before="240" w:after="240"/>
      </w:pPr>
      <w:bookmarkStart w:id="53" w:name="_Toc124409538"/>
      <w:bookmarkStart w:id="54" w:name="_Toc121814037"/>
      <w:r>
        <w:rPr>
          <w:rFonts w:hint="eastAsia"/>
        </w:rPr>
        <w:t>方法原理</w:t>
      </w:r>
      <w:bookmarkEnd w:id="53"/>
      <w:bookmarkEnd w:id="54"/>
    </w:p>
    <w:p>
      <w:pPr>
        <w:pStyle w:val="56"/>
        <w:ind w:firstLine="420"/>
        <w:rPr>
          <w:rFonts w:ascii="Times New Roman"/>
        </w:rPr>
      </w:pPr>
      <w:r>
        <w:rPr>
          <w:rFonts w:ascii="Times New Roman"/>
        </w:rPr>
        <w:t>X射线管产生的初级X射线经双曲面弯晶单色化聚焦照射样品表面，被测元素外层电子被激发发生能级跃迁而释放出元素特征X射线荧光，能量色散探测器将不同元素的特征X射线荧光分辨并探测其强度，此强度经基本参数法校正后与样品中元素质量分数成正比，通过标准物质建立校准曲线，得到样品中目标元素的质量分数。</w:t>
      </w:r>
    </w:p>
    <w:p>
      <w:pPr>
        <w:pStyle w:val="56"/>
        <w:ind w:firstLine="420"/>
      </w:pPr>
      <w:bookmarkStart w:id="55" w:name="_Toc124409539"/>
      <w:bookmarkStart w:id="56" w:name="_Toc124364644"/>
      <w:r>
        <w:rPr>
          <w:rFonts w:hint="eastAsia"/>
        </w:rPr>
        <w:t>基本参数法是对</w:t>
      </w:r>
      <w:r>
        <w:rPr>
          <w:rFonts w:ascii="Times New Roman"/>
        </w:rPr>
        <w:t>X</w:t>
      </w:r>
      <w:r>
        <w:rPr>
          <w:rFonts w:hint="eastAsia" w:ascii="Times New Roman"/>
        </w:rPr>
        <w:t>射</w:t>
      </w:r>
      <w:r>
        <w:rPr>
          <w:rFonts w:hint="eastAsia"/>
        </w:rPr>
        <w:t>线荧光的基体效应、元素间吸收增强效应、荧光产额、谱线分数等理论计算，将计算谱与探测器实测谱迭代拟合，得到样品中元素</w:t>
      </w:r>
      <w:r>
        <w:rPr>
          <w:rFonts w:ascii="Times New Roman"/>
        </w:rPr>
        <w:t>X</w:t>
      </w:r>
      <w:r>
        <w:rPr>
          <w:rFonts w:hint="eastAsia"/>
        </w:rPr>
        <w:t>荧光射线净强度或元素含量值的方法。</w:t>
      </w:r>
    </w:p>
    <w:p>
      <w:pPr>
        <w:pStyle w:val="104"/>
        <w:spacing w:before="240" w:after="240"/>
      </w:pPr>
      <w:r>
        <w:rPr>
          <w:rFonts w:hint="eastAsia"/>
        </w:rPr>
        <w:t>干扰和消除</w:t>
      </w:r>
      <w:bookmarkEnd w:id="55"/>
      <w:bookmarkEnd w:id="56"/>
    </w:p>
    <w:p>
      <w:pPr>
        <w:widowControl/>
        <w:autoSpaceDE w:val="0"/>
        <w:autoSpaceDN w:val="0"/>
        <w:adjustRightInd/>
        <w:spacing w:line="240" w:lineRule="auto"/>
        <w:ind w:firstLine="420" w:firstLineChars="200"/>
        <w:rPr>
          <w:rFonts w:ascii="Times New Roman" w:hAnsi="Times New Roman"/>
          <w:kern w:val="0"/>
          <w:szCs w:val="20"/>
        </w:rPr>
      </w:pPr>
      <w:r>
        <w:rPr>
          <w:rFonts w:hint="eastAsia" w:ascii="Times New Roman" w:hAnsi="Times New Roman"/>
          <w:kern w:val="0"/>
          <w:szCs w:val="20"/>
        </w:rPr>
        <w:t>X射线荧光光谱法存在的基体效应、元素间吸收增强效应、谱线重叠干扰采用基本参数法消除。</w:t>
      </w:r>
    </w:p>
    <w:p>
      <w:pPr>
        <w:pStyle w:val="56"/>
        <w:ind w:firstLine="420"/>
        <w:rPr>
          <w:rFonts w:ascii="Times New Roman"/>
        </w:rPr>
      </w:pPr>
      <w:r>
        <w:rPr>
          <w:rFonts w:hint="eastAsia" w:ascii="Times New Roman" w:hAnsi="Calibri"/>
          <w:kern w:val="2"/>
          <w:szCs w:val="21"/>
        </w:rPr>
        <w:t>土壤样品的颗粒效应、矿物效应、水分含量的影响，按照本文件8</w:t>
      </w:r>
      <w:r>
        <w:rPr>
          <w:rFonts w:ascii="Times New Roman" w:hAnsi="Calibri"/>
          <w:kern w:val="2"/>
          <w:szCs w:val="21"/>
        </w:rPr>
        <w:t>.1</w:t>
      </w:r>
      <w:r>
        <w:rPr>
          <w:rFonts w:hint="eastAsia" w:ascii="Times New Roman" w:hAnsi="Calibri"/>
          <w:kern w:val="2"/>
          <w:szCs w:val="21"/>
        </w:rPr>
        <w:t>规定的操作减小或消除。</w:t>
      </w:r>
    </w:p>
    <w:p>
      <w:pPr>
        <w:pStyle w:val="104"/>
        <w:spacing w:before="240" w:after="240"/>
      </w:pPr>
      <w:bookmarkStart w:id="57" w:name="_Toc121814038"/>
      <w:bookmarkStart w:id="58" w:name="_Toc124409540"/>
      <w:r>
        <w:rPr>
          <w:rFonts w:hint="eastAsia"/>
        </w:rPr>
        <w:t>试剂和材料</w:t>
      </w:r>
      <w:bookmarkEnd w:id="57"/>
      <w:bookmarkEnd w:id="58"/>
    </w:p>
    <w:p>
      <w:pPr>
        <w:pStyle w:val="105"/>
        <w:spacing w:before="120" w:after="120"/>
        <w:ind w:left="284"/>
        <w:rPr>
          <w:rFonts w:ascii="Times New Roman" w:eastAsia="宋体"/>
          <w:color w:val="000000" w:themeColor="text1"/>
          <w:szCs w:val="21"/>
          <w14:textFill>
            <w14:solidFill>
              <w14:schemeClr w14:val="tx1"/>
            </w14:solidFill>
          </w14:textFill>
        </w:rPr>
      </w:pPr>
      <w:bookmarkStart w:id="59" w:name="_Toc121814039"/>
      <w:r>
        <w:rPr>
          <w:rFonts w:ascii="Times New Roman" w:eastAsia="宋体"/>
          <w:color w:val="000000" w:themeColor="text1"/>
          <w:szCs w:val="21"/>
          <w14:textFill>
            <w14:solidFill>
              <w14:schemeClr w14:val="tx1"/>
            </w14:solidFill>
          </w14:textFill>
        </w:rPr>
        <w:t>硼酸(H</w:t>
      </w:r>
      <w:r>
        <w:rPr>
          <w:rFonts w:ascii="Times New Roman" w:eastAsia="宋体"/>
          <w:color w:val="000000" w:themeColor="text1"/>
          <w:szCs w:val="21"/>
          <w:vertAlign w:val="subscript"/>
          <w14:textFill>
            <w14:solidFill>
              <w14:schemeClr w14:val="tx1"/>
            </w14:solidFill>
          </w14:textFill>
        </w:rPr>
        <w:t>3</w:t>
      </w:r>
      <w:r>
        <w:rPr>
          <w:rFonts w:ascii="Times New Roman" w:eastAsia="宋体"/>
          <w:color w:val="000000" w:themeColor="text1"/>
          <w:szCs w:val="21"/>
          <w14:textFill>
            <w14:solidFill>
              <w14:schemeClr w14:val="tx1"/>
            </w14:solidFill>
          </w14:textFill>
        </w:rPr>
        <w:t>BO</w:t>
      </w:r>
      <w:r>
        <w:rPr>
          <w:rFonts w:ascii="Times New Roman" w:eastAsia="宋体"/>
          <w:color w:val="000000" w:themeColor="text1"/>
          <w:szCs w:val="21"/>
          <w:vertAlign w:val="subscript"/>
          <w14:textFill>
            <w14:solidFill>
              <w14:schemeClr w14:val="tx1"/>
            </w14:solidFill>
          </w14:textFill>
        </w:rPr>
        <w:t>3</w:t>
      </w:r>
      <w:r>
        <w:rPr>
          <w:rFonts w:ascii="Times New Roman" w:eastAsia="宋体"/>
          <w:color w:val="000000" w:themeColor="text1"/>
          <w:szCs w:val="21"/>
          <w14:textFill>
            <w14:solidFill>
              <w14:schemeClr w14:val="tx1"/>
            </w14:solidFill>
          </w14:textFill>
        </w:rPr>
        <w:t>)：分析纯。</w:t>
      </w:r>
      <w:bookmarkEnd w:id="59"/>
    </w:p>
    <w:p>
      <w:pPr>
        <w:pStyle w:val="105"/>
        <w:spacing w:before="120" w:after="120"/>
        <w:ind w:left="284"/>
        <w:rPr>
          <w:rFonts w:ascii="Times New Roman" w:eastAsia="宋体"/>
        </w:rPr>
      </w:pPr>
      <w:bookmarkStart w:id="60" w:name="_Toc121814040"/>
      <w:r>
        <w:rPr>
          <w:rFonts w:ascii="Times New Roman" w:eastAsia="宋体"/>
        </w:rPr>
        <w:t>塑料环：</w:t>
      </w:r>
      <w:r>
        <w:rPr>
          <w:rFonts w:hint="eastAsia" w:ascii="Times New Roman" w:eastAsia="宋体"/>
        </w:rPr>
        <w:t>尺寸与仪器的样品口直径相匹配</w:t>
      </w:r>
      <w:r>
        <w:rPr>
          <w:rFonts w:ascii="Times New Roman" w:eastAsia="宋体"/>
        </w:rPr>
        <w:t>。</w:t>
      </w:r>
      <w:bookmarkEnd w:id="60"/>
    </w:p>
    <w:p>
      <w:pPr>
        <w:pStyle w:val="105"/>
        <w:spacing w:before="120" w:after="120"/>
        <w:ind w:left="284"/>
        <w:rPr>
          <w:rFonts w:ascii="Times New Roman" w:eastAsia="宋体"/>
        </w:rPr>
      </w:pPr>
      <w:bookmarkStart w:id="61" w:name="_Toc121814041"/>
      <w:r>
        <w:rPr>
          <w:rFonts w:hint="eastAsia" w:ascii="Times New Roman" w:eastAsia="宋体"/>
        </w:rPr>
        <w:t>土壤有证标准物质：采用经国家认证并授予标准物质证书的，对硅（Si）、铝（Al）、铁（Fe）、钾（K）、钠（Na）、钙（Ca）、镁（Mg）、锰（Mn）、磷（P）、钛（Ti）、硫（S）有标准定值的土壤有证标准物质</w:t>
      </w:r>
      <w:r>
        <w:rPr>
          <w:rFonts w:ascii="Times New Roman" w:eastAsia="宋体"/>
        </w:rPr>
        <w:t>。</w:t>
      </w:r>
      <w:bookmarkEnd w:id="61"/>
    </w:p>
    <w:p>
      <w:pPr>
        <w:pStyle w:val="105"/>
        <w:spacing w:before="120" w:after="120"/>
        <w:ind w:left="284"/>
        <w:rPr>
          <w:rFonts w:ascii="Times New Roman" w:eastAsia="宋体"/>
        </w:rPr>
      </w:pPr>
      <w:r>
        <w:rPr>
          <w:rFonts w:hint="eastAsia" w:ascii="Times New Roman" w:eastAsia="宋体"/>
        </w:rPr>
        <w:t>气氛保护：氢气或氦气，纯度≥99.9%。</w:t>
      </w:r>
    </w:p>
    <w:p>
      <w:pPr>
        <w:pStyle w:val="104"/>
        <w:spacing w:before="240" w:after="240"/>
      </w:pPr>
      <w:bookmarkStart w:id="62" w:name="_Toc121814042"/>
      <w:bookmarkStart w:id="63" w:name="_Toc124409541"/>
      <w:r>
        <w:rPr>
          <w:rFonts w:hint="eastAsia"/>
        </w:rPr>
        <w:t>仪器和设备</w:t>
      </w:r>
      <w:bookmarkEnd w:id="62"/>
      <w:bookmarkEnd w:id="63"/>
    </w:p>
    <w:p>
      <w:pPr>
        <w:pStyle w:val="105"/>
        <w:spacing w:before="120" w:after="120"/>
        <w:ind w:left="284"/>
        <w:rPr>
          <w:rFonts w:ascii="Times New Roman" w:eastAsia="宋体"/>
        </w:rPr>
      </w:pPr>
      <w:bookmarkStart w:id="64" w:name="_Toc121814043"/>
      <w:r>
        <w:rPr>
          <w:rFonts w:ascii="Times New Roman" w:eastAsia="宋体"/>
        </w:rPr>
        <w:t>单波长激发-能量色散X射线荧光光谱仪：单色化激发元素范围 Na</w:t>
      </w:r>
      <w:r>
        <w:rPr>
          <w:rFonts w:hint="eastAsia" w:ascii="Times New Roman" w:eastAsia="宋体"/>
        </w:rPr>
        <w:t>-</w:t>
      </w:r>
      <w:r>
        <w:rPr>
          <w:rFonts w:ascii="Times New Roman" w:eastAsia="宋体"/>
        </w:rPr>
        <w:t>Fe，真空或氢气(氦气)光路吹扫系统，探测器能量分辨率&lt;135eV@Mn:Ka。</w:t>
      </w:r>
      <w:bookmarkEnd w:id="64"/>
    </w:p>
    <w:p>
      <w:pPr>
        <w:pStyle w:val="105"/>
        <w:spacing w:before="120" w:after="120"/>
        <w:ind w:left="284"/>
        <w:rPr>
          <w:rFonts w:ascii="Times New Roman" w:eastAsia="宋体"/>
        </w:rPr>
      </w:pPr>
      <w:bookmarkStart w:id="65" w:name="_Toc121814044"/>
      <w:r>
        <w:rPr>
          <w:rFonts w:ascii="Times New Roman" w:eastAsia="宋体"/>
        </w:rPr>
        <w:t>粉末压片机：最大压力不小于20 MPa。</w:t>
      </w:r>
      <w:bookmarkEnd w:id="65"/>
    </w:p>
    <w:p>
      <w:pPr>
        <w:pStyle w:val="105"/>
        <w:spacing w:before="120" w:after="120"/>
        <w:ind w:left="284"/>
        <w:rPr>
          <w:rFonts w:ascii="Times New Roman" w:eastAsia="宋体"/>
        </w:rPr>
      </w:pPr>
      <w:bookmarkStart w:id="66" w:name="_Toc121814045"/>
      <w:r>
        <w:rPr>
          <w:rFonts w:ascii="Times New Roman" w:eastAsia="宋体"/>
        </w:rPr>
        <w:t>分析天平：精度为0.1 g。</w:t>
      </w:r>
      <w:bookmarkEnd w:id="66"/>
    </w:p>
    <w:p>
      <w:pPr>
        <w:pStyle w:val="105"/>
        <w:spacing w:before="120" w:after="120"/>
        <w:ind w:left="284"/>
        <w:rPr>
          <w:rFonts w:ascii="Times New Roman" w:eastAsia="宋体"/>
          <w:color w:val="000000" w:themeColor="text1"/>
          <w:szCs w:val="21"/>
          <w14:textFill>
            <w14:solidFill>
              <w14:schemeClr w14:val="tx1"/>
            </w14:solidFill>
          </w14:textFill>
        </w:rPr>
      </w:pPr>
      <w:bookmarkStart w:id="67" w:name="_Toc121814046"/>
      <w:r>
        <w:rPr>
          <w:rFonts w:hint="eastAsia" w:ascii="Times New Roman" w:eastAsia="宋体"/>
        </w:rPr>
        <w:t>尼龙筛</w:t>
      </w:r>
      <w:r>
        <w:rPr>
          <w:rFonts w:ascii="Times New Roman" w:eastAsia="宋体"/>
        </w:rPr>
        <w:t>：</w:t>
      </w:r>
      <w:bookmarkEnd w:id="67"/>
      <w:r>
        <w:rPr>
          <w:rFonts w:hint="eastAsia" w:ascii="Times New Roman" w:eastAsia="宋体"/>
        </w:rPr>
        <w:t>孔径0.15 mm（100目）。</w:t>
      </w:r>
    </w:p>
    <w:p>
      <w:pPr>
        <w:pStyle w:val="104"/>
        <w:spacing w:before="240" w:after="240"/>
      </w:pPr>
      <w:bookmarkStart w:id="68" w:name="_Toc121814047"/>
      <w:bookmarkStart w:id="69" w:name="_Toc124409542"/>
      <w:r>
        <w:rPr>
          <w:rFonts w:hint="eastAsia"/>
        </w:rPr>
        <w:t>样品</w:t>
      </w:r>
      <w:bookmarkEnd w:id="68"/>
      <w:bookmarkEnd w:id="69"/>
    </w:p>
    <w:p>
      <w:pPr>
        <w:pStyle w:val="105"/>
        <w:spacing w:before="120" w:after="120"/>
      </w:pPr>
      <w:bookmarkStart w:id="70" w:name="_Toc121814048"/>
      <w:r>
        <w:rPr>
          <w:rFonts w:hint="eastAsia"/>
        </w:rPr>
        <w:t>样品的采集和保存</w:t>
      </w:r>
      <w:bookmarkEnd w:id="70"/>
    </w:p>
    <w:p>
      <w:pPr>
        <w:pStyle w:val="56"/>
        <w:ind w:firstLine="420"/>
        <w:rPr>
          <w:rFonts w:ascii="Times New Roman"/>
        </w:rPr>
      </w:pPr>
      <w:r>
        <w:rPr>
          <w:rFonts w:hint="eastAsia" w:ascii="Times New Roman"/>
        </w:rPr>
        <w:t>按照HJ/T 166的相关规定采集、保存、风干或烘干土壤样品，采用研磨后过100目筛（7.4）的土壤样品，于105 ℃烘干4 h后，放于干燥器中静置1 h。</w:t>
      </w:r>
    </w:p>
    <w:p>
      <w:pPr>
        <w:pStyle w:val="105"/>
        <w:spacing w:before="120" w:after="120"/>
      </w:pPr>
      <w:bookmarkStart w:id="71" w:name="_Toc121814049"/>
      <w:r>
        <w:rPr>
          <w:rFonts w:hint="eastAsia"/>
        </w:rPr>
        <w:t>样品的制备</w:t>
      </w:r>
      <w:bookmarkEnd w:id="71"/>
    </w:p>
    <w:p>
      <w:pPr>
        <w:pStyle w:val="56"/>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用分析天平（6.3）称取4.0 g样品（8.1），用硼酸（6.1）或塑料环（6.2）镶边的方法，于压片机上以20 MPa的压力压片，保压时间保持60秒，制成厚度≥4 mm的样品片，置于干燥器内待测。</w:t>
      </w:r>
    </w:p>
    <w:p>
      <w:pPr>
        <w:pStyle w:val="104"/>
        <w:spacing w:before="240" w:after="240"/>
      </w:pPr>
      <w:bookmarkStart w:id="72" w:name="_Toc121814050"/>
      <w:bookmarkStart w:id="73" w:name="_Toc124409543"/>
      <w:r>
        <w:rPr>
          <w:rFonts w:hint="eastAsia"/>
        </w:rPr>
        <w:t>分析步骤</w:t>
      </w:r>
      <w:bookmarkEnd w:id="72"/>
      <w:bookmarkEnd w:id="73"/>
    </w:p>
    <w:p>
      <w:pPr>
        <w:pStyle w:val="105"/>
        <w:spacing w:before="120" w:after="120"/>
      </w:pPr>
      <w:bookmarkStart w:id="74" w:name="_Toc121814051"/>
      <w:r>
        <w:rPr>
          <w:rFonts w:hint="eastAsia"/>
        </w:rPr>
        <w:t>仪器</w:t>
      </w:r>
      <w:bookmarkEnd w:id="74"/>
      <w:r>
        <w:rPr>
          <w:rFonts w:hint="eastAsia"/>
        </w:rPr>
        <w:t>参数的设定</w:t>
      </w:r>
    </w:p>
    <w:p>
      <w:pPr>
        <w:pStyle w:val="56"/>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根据仪器操作手册，选择合适的测定条件建立方法。需要优化的主要仪器参数有：X</w:t>
      </w:r>
      <w:r>
        <w:rPr>
          <w:rFonts w:hint="eastAsia" w:ascii="Times New Roman"/>
          <w:color w:val="000000" w:themeColor="text1"/>
          <w14:textFill>
            <w14:solidFill>
              <w14:schemeClr w14:val="tx1"/>
            </w14:solidFill>
          </w14:textFill>
        </w:rPr>
        <w:t>射线</w:t>
      </w:r>
      <w:r>
        <w:rPr>
          <w:rFonts w:ascii="Times New Roman"/>
          <w:color w:val="000000" w:themeColor="text1"/>
          <w14:textFill>
            <w14:solidFill>
              <w14:schemeClr w14:val="tx1"/>
            </w14:solidFill>
          </w14:textFill>
        </w:rPr>
        <w:t>管电压及电流、双曲面弯晶</w:t>
      </w:r>
      <w:r>
        <w:rPr>
          <w:rFonts w:hint="eastAsia" w:ascii="Times New Roman"/>
          <w:color w:val="000000" w:themeColor="text1"/>
          <w14:textFill>
            <w14:solidFill>
              <w14:schemeClr w14:val="tx1"/>
            </w14:solidFill>
          </w14:textFill>
        </w:rPr>
        <w:t>角度、</w:t>
      </w:r>
      <w:r>
        <w:rPr>
          <w:rFonts w:ascii="Times New Roman"/>
          <w:color w:val="000000" w:themeColor="text1"/>
          <w14:textFill>
            <w14:solidFill>
              <w14:schemeClr w14:val="tx1"/>
            </w14:solidFill>
          </w14:textFill>
        </w:rPr>
        <w:t>元素特征谱线、光路介质等。仪器参数示例</w:t>
      </w:r>
      <w:r>
        <w:rPr>
          <w:rFonts w:hint="eastAsia" w:ascii="Times New Roman"/>
          <w:color w:val="000000" w:themeColor="text1"/>
          <w14:textFill>
            <w14:solidFill>
              <w14:schemeClr w14:val="tx1"/>
            </w14:solidFill>
          </w14:textFill>
        </w:rPr>
        <w:t>参</w:t>
      </w:r>
      <w:r>
        <w:rPr>
          <w:rFonts w:ascii="Times New Roman"/>
          <w:color w:val="000000" w:themeColor="text1"/>
          <w14:textFill>
            <w14:solidFill>
              <w14:schemeClr w14:val="tx1"/>
            </w14:solidFill>
          </w14:textFill>
        </w:rPr>
        <w:t>见附录B。</w:t>
      </w:r>
    </w:p>
    <w:p>
      <w:pPr>
        <w:pStyle w:val="105"/>
        <w:spacing w:before="120" w:after="120"/>
      </w:pPr>
      <w:bookmarkStart w:id="75" w:name="_Toc121814052"/>
      <w:r>
        <w:rPr>
          <w:rFonts w:hint="eastAsia"/>
        </w:rPr>
        <w:t>校准曲线</w:t>
      </w:r>
      <w:bookmarkEnd w:id="75"/>
      <w:r>
        <w:rPr>
          <w:rFonts w:hint="eastAsia"/>
        </w:rPr>
        <w:t>的制作</w:t>
      </w:r>
    </w:p>
    <w:p>
      <w:pPr>
        <w:pStyle w:val="56"/>
        <w:ind w:firstLine="420"/>
        <w:rPr>
          <w:rFonts w:ascii="Times New Roman"/>
        </w:rPr>
      </w:pPr>
      <w:r>
        <w:rPr>
          <w:rFonts w:ascii="Times New Roman"/>
        </w:rPr>
        <w:t>将</w:t>
      </w:r>
      <w:r>
        <w:rPr>
          <w:rFonts w:hint="eastAsia" w:ascii="Times New Roman"/>
        </w:rPr>
        <w:t>不同质量分数的</w:t>
      </w:r>
      <w:r>
        <w:rPr>
          <w:rFonts w:ascii="Times New Roman"/>
        </w:rPr>
        <w:t>土壤有证标准物质（6.3）按照（8.2）要求进行样品制备，再根据所设定的仪器</w:t>
      </w:r>
      <w:r>
        <w:rPr>
          <w:rFonts w:hint="eastAsia" w:ascii="Times New Roman"/>
        </w:rPr>
        <w:t>参数（</w:t>
      </w:r>
      <w:r>
        <w:rPr>
          <w:rFonts w:ascii="Times New Roman"/>
        </w:rPr>
        <w:t>9.1</w:t>
      </w:r>
      <w:r>
        <w:rPr>
          <w:rFonts w:hint="eastAsia" w:ascii="Times New Roman"/>
        </w:rPr>
        <w:t>）</w:t>
      </w:r>
      <w:r>
        <w:rPr>
          <w:rFonts w:ascii="Times New Roman"/>
        </w:rPr>
        <w:t>，</w:t>
      </w:r>
      <w:r>
        <w:rPr>
          <w:rFonts w:hint="eastAsia" w:ascii="Times New Roman"/>
        </w:rPr>
        <w:t>依次</w:t>
      </w:r>
      <w:r>
        <w:rPr>
          <w:rFonts w:ascii="Times New Roman"/>
        </w:rPr>
        <w:t>用单波长激发-能量色散X射线荧光光谱仪（7.1）测定，基本参数法通过仪器软件内置的基本参数库，可计算得到目标元素的计算值</w:t>
      </w:r>
      <w:r>
        <w:rPr>
          <w:rFonts w:hint="eastAsia" w:ascii="Times New Roman"/>
        </w:rPr>
        <w:t>（</w:t>
      </w:r>
      <w:r>
        <w:rPr>
          <w:rFonts w:ascii="Times New Roman"/>
        </w:rPr>
        <w:t>RawFP</w:t>
      </w:r>
      <w:r>
        <w:rPr>
          <w:rFonts w:hint="eastAsia" w:ascii="Times New Roman"/>
        </w:rPr>
        <w:t>）</w:t>
      </w:r>
      <w:r>
        <w:rPr>
          <w:rFonts w:ascii="Times New Roman"/>
        </w:rPr>
        <w:t>，以目标元素的计算值</w:t>
      </w:r>
      <w:r>
        <w:rPr>
          <w:rFonts w:hint="eastAsia" w:ascii="Times New Roman"/>
        </w:rPr>
        <w:t>（RawFP）</w:t>
      </w:r>
      <w:r>
        <w:rPr>
          <w:rFonts w:ascii="Times New Roman"/>
        </w:rPr>
        <w:t>为横坐标，有证标准物质目标元素的标准值为纵坐标进行曲线拟合，</w:t>
      </w:r>
      <w:r>
        <w:rPr>
          <w:rFonts w:hint="eastAsia" w:ascii="Times New Roman"/>
        </w:rPr>
        <w:t>建立</w:t>
      </w:r>
      <w:r>
        <w:rPr>
          <w:rFonts w:ascii="Times New Roman"/>
        </w:rPr>
        <w:t>校准曲线。</w:t>
      </w:r>
    </w:p>
    <w:p>
      <w:pPr>
        <w:pStyle w:val="56"/>
        <w:ind w:firstLine="360"/>
        <w:rPr>
          <w:rFonts w:ascii="Times New Roman"/>
          <w:sz w:val="18"/>
          <w:szCs w:val="18"/>
        </w:rPr>
      </w:pPr>
      <w:r>
        <w:rPr>
          <w:rFonts w:hint="eastAsia" w:ascii="Times New Roman"/>
          <w:sz w:val="18"/>
          <w:szCs w:val="18"/>
        </w:rPr>
        <w:t>注：应选择至少5个不同质量分数元素的标准样品（</w:t>
      </w:r>
      <w:r>
        <w:rPr>
          <w:rFonts w:ascii="Times New Roman"/>
          <w:sz w:val="18"/>
          <w:szCs w:val="18"/>
        </w:rPr>
        <w:t>6</w:t>
      </w:r>
      <w:r>
        <w:rPr>
          <w:rFonts w:hint="eastAsia" w:ascii="Times New Roman"/>
          <w:sz w:val="18"/>
          <w:szCs w:val="18"/>
        </w:rPr>
        <w:t>.</w:t>
      </w:r>
      <w:r>
        <w:rPr>
          <w:rFonts w:ascii="Times New Roman"/>
          <w:sz w:val="18"/>
          <w:szCs w:val="18"/>
        </w:rPr>
        <w:t>3</w:t>
      </w:r>
      <w:r>
        <w:rPr>
          <w:rFonts w:hint="eastAsia" w:ascii="Times New Roman"/>
          <w:sz w:val="18"/>
          <w:szCs w:val="18"/>
        </w:rPr>
        <w:t>），线性相关系数（r）应大于等于0.995，</w:t>
      </w:r>
      <w:bookmarkStart w:id="76" w:name="_Hlk124326013"/>
      <w:r>
        <w:rPr>
          <w:rFonts w:hint="eastAsia" w:ascii="Times New Roman"/>
          <w:sz w:val="18"/>
          <w:szCs w:val="18"/>
        </w:rPr>
        <w:t>各元素含量范围参见</w:t>
      </w:r>
      <w:bookmarkEnd w:id="76"/>
      <w:r>
        <w:rPr>
          <w:rFonts w:hint="eastAsia" w:ascii="Times New Roman"/>
          <w:sz w:val="18"/>
          <w:szCs w:val="18"/>
        </w:rPr>
        <w:t>附录</w:t>
      </w:r>
      <w:r>
        <w:rPr>
          <w:rFonts w:ascii="Times New Roman"/>
          <w:sz w:val="18"/>
          <w:szCs w:val="18"/>
        </w:rPr>
        <w:t>C</w:t>
      </w:r>
      <w:r>
        <w:rPr>
          <w:rFonts w:hint="eastAsia" w:ascii="Times New Roman"/>
          <w:sz w:val="18"/>
          <w:szCs w:val="18"/>
        </w:rPr>
        <w:t>。</w:t>
      </w:r>
    </w:p>
    <w:p>
      <w:pPr>
        <w:pStyle w:val="105"/>
        <w:spacing w:before="120" w:after="120"/>
      </w:pPr>
      <w:bookmarkStart w:id="77" w:name="_Toc121814053"/>
      <w:r>
        <w:rPr>
          <w:rFonts w:hint="eastAsia"/>
        </w:rPr>
        <w:t>样品</w:t>
      </w:r>
      <w:bookmarkEnd w:id="77"/>
      <w:r>
        <w:rPr>
          <w:rFonts w:hint="eastAsia"/>
        </w:rPr>
        <w:t>的测定</w:t>
      </w:r>
    </w:p>
    <w:p>
      <w:pPr>
        <w:pStyle w:val="56"/>
        <w:ind w:firstLine="420"/>
        <w:rPr>
          <w:rFonts w:ascii="Times New Roman"/>
        </w:rPr>
      </w:pPr>
      <w:r>
        <w:rPr>
          <w:rFonts w:hint="eastAsia" w:ascii="Times New Roman"/>
        </w:rPr>
        <w:t>将土壤样品按照8.2的步骤制样，</w:t>
      </w:r>
      <w:r>
        <w:rPr>
          <w:rFonts w:ascii="Times New Roman"/>
        </w:rPr>
        <w:t>在与建立校准曲线相同的条件</w:t>
      </w:r>
      <w:r>
        <w:rPr>
          <w:rFonts w:hint="eastAsia" w:ascii="Times New Roman"/>
        </w:rPr>
        <w:t>（9</w:t>
      </w:r>
      <w:r>
        <w:rPr>
          <w:rFonts w:ascii="Times New Roman"/>
        </w:rPr>
        <w:t>.2</w:t>
      </w:r>
      <w:r>
        <w:rPr>
          <w:rFonts w:hint="eastAsia" w:ascii="Times New Roman"/>
        </w:rPr>
        <w:t>）</w:t>
      </w:r>
      <w:r>
        <w:rPr>
          <w:rFonts w:ascii="Times New Roman"/>
        </w:rPr>
        <w:t>下</w:t>
      </w:r>
      <w:r>
        <w:rPr>
          <w:rFonts w:hint="eastAsia" w:ascii="Times New Roman"/>
        </w:rPr>
        <w:t>测试</w:t>
      </w:r>
      <w:r>
        <w:rPr>
          <w:rFonts w:ascii="Times New Roman"/>
        </w:rPr>
        <w:t>，根据目标元素计算值，</w:t>
      </w:r>
      <w:r>
        <w:rPr>
          <w:rFonts w:hint="eastAsia" w:ascii="Times New Roman"/>
        </w:rPr>
        <w:t>经</w:t>
      </w:r>
      <w:r>
        <w:rPr>
          <w:rFonts w:ascii="Times New Roman"/>
        </w:rPr>
        <w:t>校准曲线</w:t>
      </w:r>
      <w:r>
        <w:rPr>
          <w:rFonts w:hint="eastAsia" w:ascii="Times New Roman"/>
        </w:rPr>
        <w:t>计算得出样品中</w:t>
      </w:r>
      <w:r>
        <w:rPr>
          <w:rFonts w:ascii="Times New Roman"/>
        </w:rPr>
        <w:t>目标元素</w:t>
      </w:r>
      <w:r>
        <w:rPr>
          <w:rFonts w:hint="eastAsia" w:ascii="Times New Roman"/>
        </w:rPr>
        <w:t>的</w:t>
      </w:r>
      <w:r>
        <w:rPr>
          <w:rFonts w:ascii="Times New Roman"/>
        </w:rPr>
        <w:t>质量分数。</w:t>
      </w:r>
    </w:p>
    <w:p>
      <w:pPr>
        <w:pStyle w:val="104"/>
        <w:spacing w:before="240" w:after="240"/>
      </w:pPr>
      <w:bookmarkStart w:id="78" w:name="_Toc121214450"/>
      <w:bookmarkStart w:id="79" w:name="_Toc124409544"/>
      <w:bookmarkStart w:id="80" w:name="_Toc121814054"/>
      <w:r>
        <w:rPr>
          <w:rFonts w:hint="eastAsia"/>
        </w:rPr>
        <w:t>结果计算与表示</w:t>
      </w:r>
      <w:bookmarkEnd w:id="78"/>
      <w:bookmarkEnd w:id="79"/>
      <w:bookmarkEnd w:id="80"/>
    </w:p>
    <w:p>
      <w:pPr>
        <w:pStyle w:val="105"/>
        <w:spacing w:before="120" w:after="120"/>
      </w:pPr>
      <w:bookmarkStart w:id="81" w:name="_Toc121814055"/>
      <w:r>
        <w:rPr>
          <w:rFonts w:hint="eastAsia"/>
        </w:rPr>
        <w:t>结果计算</w:t>
      </w:r>
      <w:bookmarkEnd w:id="81"/>
    </w:p>
    <w:p>
      <w:pPr>
        <w:pStyle w:val="56"/>
        <w:ind w:firstLine="420"/>
        <w:rPr>
          <w:rFonts w:ascii="Times New Roman"/>
        </w:rPr>
      </w:pPr>
      <w:r>
        <w:rPr>
          <w:rFonts w:hint="eastAsia" w:ascii="Times New Roman"/>
        </w:rPr>
        <w:t>土壤样品中目标元素的质量分数（mg/kg）或（%），按式（1）计算。</w:t>
      </w:r>
    </w:p>
    <w:p>
      <w:pPr>
        <w:pStyle w:val="113"/>
      </w:pPr>
      <w:r>
        <w:tab/>
      </w:r>
      <m:oMath>
        <m:sSub>
          <m:sSubPr>
            <m:ctrlPr>
              <w:rPr>
                <w:rFonts w:ascii="Cambria Math" w:hAnsi="Cambria Math"/>
              </w:rPr>
            </m:ctrlPr>
          </m:sSubPr>
          <m:e>
            <m:r>
              <m:rPr/>
              <w:rPr>
                <w:rFonts w:ascii="Cambria Math" w:hAnsi="Cambria Math"/>
              </w:rPr>
              <m:t>ω</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0</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RawFP</m:t>
            </m:r>
            <m:ctrlPr>
              <w:rPr>
                <w:rFonts w:ascii="Cambria Math" w:hAnsi="Cambria Math"/>
                <w:i/>
              </w:rPr>
            </m:ctrlPr>
          </m:e>
          <m:sub>
            <m:sSub>
              <m:sSubPr>
                <m:ctrlPr>
                  <w:rPr>
                    <w:rFonts w:ascii="Cambria Math" w:hAnsi="Cambria Math"/>
                    <w:i/>
                  </w:rPr>
                </m:ctrlPr>
              </m:sSubPr>
              <m:e>
                <m:r>
                  <m:rPr/>
                  <w:rPr>
                    <w:rFonts w:ascii="Cambria Math" w:hAnsi="Cambria Math"/>
                  </w:rPr>
                  <m:t>E</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1</m:t>
            </m:r>
            <m:ctrlPr>
              <w:rPr>
                <w:rFonts w:ascii="Cambria Math" w:hAnsi="Cambria Math"/>
                <w:i/>
              </w:rPr>
            </m:ctrlPr>
          </m:sub>
        </m:sSub>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56"/>
        <w:ind w:firstLine="420"/>
      </w:pPr>
      <m:oMath>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hint="eastAsia" w:ascii="Cambria Math"/>
              </w:rPr>
              <m:t>i</m:t>
            </m:r>
            <m:ctrlPr>
              <w:rPr>
                <w:rFonts w:ascii="Cambria Math" w:hAnsi="Cambria Math"/>
                <w:i/>
              </w:rPr>
            </m:ctrlPr>
          </m:sub>
        </m:sSub>
      </m:oMath>
      <w:r>
        <w:rPr>
          <w:rFonts w:hint="eastAsia"/>
        </w:rPr>
        <w:t>——烘干土壤样品中目标</w:t>
      </w:r>
      <w:r>
        <w:rPr>
          <w:rFonts w:hint="eastAsia" w:ascii="Times New Roman"/>
          <w:color w:val="000000" w:themeColor="text1"/>
          <w14:textFill>
            <w14:solidFill>
              <w14:schemeClr w14:val="tx1"/>
            </w14:solidFill>
          </w14:textFill>
        </w:rPr>
        <w:t>元素的质量分数，单位为毫克每千克（mg/kg）或百分数（%）</w:t>
      </w:r>
      <w:r>
        <w:rPr>
          <w:rFonts w:hint="eastAsia"/>
        </w:rPr>
        <w:t>；</w:t>
      </w:r>
    </w:p>
    <w:p>
      <w:pPr>
        <w:pStyle w:val="56"/>
        <w:ind w:firstLine="420"/>
      </w:pPr>
      <m:oMath>
        <m:sSub>
          <m:sSubPr>
            <m:ctrlPr>
              <w:rPr>
                <w:rFonts w:ascii="Cambria Math" w:hAnsi="Cambria Math"/>
                <w:i/>
                <w:kern w:val="2"/>
                <w:szCs w:val="21"/>
              </w:rPr>
            </m:ctrlPr>
          </m:sSubPr>
          <m:e>
            <m:r>
              <m:rPr/>
              <w:rPr>
                <w:rFonts w:ascii="Cambria Math" w:hAnsi="Cambria Math"/>
              </w:rPr>
              <m:t>A</m:t>
            </m:r>
            <m:ctrlPr>
              <w:rPr>
                <w:rFonts w:ascii="Cambria Math" w:hAnsi="Cambria Math"/>
                <w:i/>
                <w:kern w:val="2"/>
                <w:szCs w:val="21"/>
              </w:rPr>
            </m:ctrlPr>
          </m:e>
          <m:sub>
            <m:r>
              <m:rPr/>
              <w:rPr>
                <w:rFonts w:ascii="Cambria Math" w:hAnsi="Cambria Math"/>
              </w:rPr>
              <m:t>0</m:t>
            </m:r>
            <m:ctrlPr>
              <w:rPr>
                <w:rFonts w:ascii="Cambria Math" w:hAnsi="Cambria Math"/>
                <w:i/>
                <w:kern w:val="2"/>
                <w:szCs w:val="21"/>
              </w:rPr>
            </m:ctrlPr>
          </m:sub>
        </m:sSub>
      </m:oMath>
      <w:r>
        <w:rPr>
          <w:rFonts w:hint="eastAsia"/>
        </w:rPr>
        <w:t>——校</w:t>
      </w:r>
      <w:r>
        <w:rPr>
          <w:rFonts w:hint="eastAsia" w:ascii="Times New Roman"/>
          <w:color w:val="000000" w:themeColor="text1"/>
          <w14:textFill>
            <w14:solidFill>
              <w14:schemeClr w14:val="tx1"/>
            </w14:solidFill>
          </w14:textFill>
        </w:rPr>
        <w:t>准曲线斜率；</w:t>
      </w:r>
    </w:p>
    <w:p>
      <w:pPr>
        <w:pStyle w:val="56"/>
        <w:ind w:firstLine="420"/>
      </w:pPr>
      <m:oMath>
        <m:sSub>
          <m:sSubPr>
            <m:ctrlPr>
              <w:rPr>
                <w:rFonts w:ascii="Cambria Math" w:hAnsi="Cambria Math"/>
                <w:i/>
                <w:kern w:val="2"/>
                <w:szCs w:val="21"/>
              </w:rPr>
            </m:ctrlPr>
          </m:sSubPr>
          <m:e>
            <m:r>
              <m:rPr/>
              <w:rPr>
                <w:rFonts w:ascii="Cambria Math" w:hAnsi="Cambria Math"/>
              </w:rPr>
              <m:t>RawFP</m:t>
            </m:r>
            <m:ctrlPr>
              <w:rPr>
                <w:rFonts w:ascii="Cambria Math" w:hAnsi="Cambria Math"/>
                <w:i/>
                <w:kern w:val="2"/>
                <w:szCs w:val="21"/>
              </w:rPr>
            </m:ctrlPr>
          </m:e>
          <m:sub>
            <m:sSub>
              <m:sSubPr>
                <m:ctrlPr>
                  <w:rPr>
                    <w:rFonts w:ascii="Cambria Math" w:hAnsi="Cambria Math"/>
                    <w:i/>
                    <w:kern w:val="2"/>
                    <w:szCs w:val="21"/>
                  </w:rPr>
                </m:ctrlPr>
              </m:sSubPr>
              <m:e>
                <m:r>
                  <m:rPr/>
                  <w:rPr>
                    <w:rFonts w:ascii="Cambria Math" w:hAnsi="Cambria Math"/>
                  </w:rPr>
                  <m:t>E</m:t>
                </m:r>
                <m:ctrlPr>
                  <w:rPr>
                    <w:rFonts w:ascii="Cambria Math" w:hAnsi="Cambria Math"/>
                    <w:i/>
                    <w:kern w:val="2"/>
                    <w:szCs w:val="21"/>
                  </w:rPr>
                </m:ctrlPr>
              </m:e>
              <m:sub>
                <m:r>
                  <m:rPr/>
                  <w:rPr>
                    <w:rFonts w:ascii="Cambria Math" w:hAnsi="Cambria Math"/>
                  </w:rPr>
                  <m:t>i</m:t>
                </m:r>
                <m:ctrlPr>
                  <w:rPr>
                    <w:rFonts w:ascii="Cambria Math" w:hAnsi="Cambria Math"/>
                    <w:i/>
                    <w:kern w:val="2"/>
                    <w:szCs w:val="21"/>
                  </w:rPr>
                </m:ctrlPr>
              </m:sub>
            </m:sSub>
            <m:ctrlPr>
              <w:rPr>
                <w:rFonts w:ascii="Cambria Math" w:hAnsi="Cambria Math"/>
                <w:i/>
                <w:kern w:val="2"/>
                <w:szCs w:val="21"/>
              </w:rPr>
            </m:ctrlPr>
          </m:sub>
        </m:sSub>
      </m:oMath>
      <w:r>
        <w:rPr>
          <w:rFonts w:hint="eastAsia"/>
        </w:rPr>
        <w:t>——</w:t>
      </w:r>
      <w:r>
        <w:rPr>
          <w:rFonts w:hint="eastAsia" w:ascii="Times New Roman"/>
          <w:color w:val="000000" w:themeColor="text1"/>
          <w14:textFill>
            <w14:solidFill>
              <w14:schemeClr w14:val="tx1"/>
            </w14:solidFill>
          </w14:textFill>
        </w:rPr>
        <w:t>某元素（</w:t>
      </w:r>
      <w:r>
        <w:rPr>
          <w:rFonts w:hint="eastAsia" w:ascii="Times New Roman"/>
          <w:i/>
          <w:iCs/>
          <w:color w:val="000000" w:themeColor="text1"/>
          <w14:textFill>
            <w14:solidFill>
              <w14:schemeClr w14:val="tx1"/>
            </w14:solidFill>
          </w14:textFill>
        </w:rPr>
        <w:t>E</w:t>
      </w:r>
      <w:r>
        <w:rPr>
          <w:rFonts w:hint="eastAsia" w:ascii="Times New Roman"/>
          <w:i/>
          <w:iCs/>
          <w:color w:val="000000" w:themeColor="text1"/>
          <w:vertAlign w:val="subscript"/>
          <w14:textFill>
            <w14:solidFill>
              <w14:schemeClr w14:val="tx1"/>
            </w14:solidFill>
          </w14:textFill>
        </w:rPr>
        <w:t>i</w:t>
      </w:r>
      <w:r>
        <w:rPr>
          <w:rFonts w:hint="eastAsia" w:ascii="Times New Roman"/>
          <w:i/>
          <w:iCs/>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基本参数法计算值，</w:t>
      </w:r>
      <w:r>
        <w:rPr>
          <w:rFonts w:hint="eastAsia" w:ascii="Times New Roman"/>
        </w:rPr>
        <w:t>单位为毫克每千克（mg/kg）或百分数（%）</w:t>
      </w:r>
      <w:r>
        <w:rPr>
          <w:rFonts w:hint="eastAsia"/>
        </w:rPr>
        <w:t>；</w:t>
      </w:r>
    </w:p>
    <w:p>
      <w:pPr>
        <w:pStyle w:val="56"/>
        <w:ind w:firstLine="420"/>
        <w:rPr>
          <w:rFonts w:ascii="Times New Roman"/>
          <w:color w:val="000000" w:themeColor="text1"/>
          <w14:textFill>
            <w14:solidFill>
              <w14:schemeClr w14:val="tx1"/>
            </w14:solidFill>
          </w14:textFill>
        </w:rPr>
      </w:pPr>
      <m:oMath>
        <m:sSub>
          <m:sSubPr>
            <m:ctrlPr>
              <w:rPr>
                <w:rFonts w:ascii="Cambria Math" w:hAnsi="Cambria Math"/>
                <w:i/>
                <w:kern w:val="2"/>
                <w:szCs w:val="21"/>
              </w:rPr>
            </m:ctrlPr>
          </m:sSubPr>
          <m:e>
            <m:r>
              <m:rPr/>
              <w:rPr>
                <w:rFonts w:ascii="Cambria Math" w:hAnsi="Cambria Math"/>
              </w:rPr>
              <m:t>A</m:t>
            </m:r>
            <m:ctrlPr>
              <w:rPr>
                <w:rFonts w:ascii="Cambria Math" w:hAnsi="Cambria Math"/>
                <w:i/>
                <w:kern w:val="2"/>
                <w:szCs w:val="21"/>
              </w:rPr>
            </m:ctrlPr>
          </m:e>
          <m:sub>
            <m:r>
              <m:rPr/>
              <w:rPr>
                <w:rFonts w:ascii="Cambria Math" w:hAnsi="Cambria Math"/>
              </w:rPr>
              <m:t>1</m:t>
            </m:r>
            <m:ctrlPr>
              <w:rPr>
                <w:rFonts w:ascii="Cambria Math" w:hAnsi="Cambria Math"/>
                <w:i/>
                <w:kern w:val="2"/>
                <w:szCs w:val="21"/>
              </w:rPr>
            </m:ctrlPr>
          </m:sub>
        </m:sSub>
      </m:oMath>
      <w:r>
        <w:rPr>
          <w:rFonts w:hint="eastAsia"/>
        </w:rPr>
        <w:t>——</w:t>
      </w:r>
      <w:r>
        <w:rPr>
          <w:rFonts w:hint="eastAsia" w:ascii="Times New Roman"/>
          <w:color w:val="000000" w:themeColor="text1"/>
          <w14:textFill>
            <w14:solidFill>
              <w14:schemeClr w14:val="tx1"/>
            </w14:solidFill>
          </w14:textFill>
        </w:rPr>
        <w:t>校准曲线截距，</w:t>
      </w:r>
      <w:r>
        <w:rPr>
          <w:rFonts w:hint="eastAsia" w:ascii="Times New Roman"/>
        </w:rPr>
        <w:t>单位为毫克每千克（mg/kg）或百分数（%）</w:t>
      </w:r>
      <w:r>
        <w:rPr>
          <w:rFonts w:hint="eastAsia" w:ascii="Times New Roman"/>
          <w:color w:val="000000" w:themeColor="text1"/>
          <w14:textFill>
            <w14:solidFill>
              <w14:schemeClr w14:val="tx1"/>
            </w14:solidFill>
          </w14:textFill>
        </w:rPr>
        <w:t>。</w:t>
      </w:r>
    </w:p>
    <w:p>
      <w:pPr>
        <w:pStyle w:val="105"/>
        <w:spacing w:before="120" w:after="120"/>
      </w:pPr>
      <w:bookmarkStart w:id="82" w:name="_Toc121814056"/>
      <w:r>
        <w:rPr>
          <w:rFonts w:hint="eastAsia"/>
        </w:rPr>
        <w:t>结果表示</w:t>
      </w:r>
      <w:bookmarkEnd w:id="82"/>
    </w:p>
    <w:p>
      <w:pPr>
        <w:pStyle w:val="56"/>
        <w:ind w:firstLine="420"/>
        <w:rPr>
          <w:rFonts w:ascii="Times New Roman"/>
        </w:rPr>
      </w:pPr>
      <w:r>
        <w:rPr>
          <w:rFonts w:ascii="Times New Roman"/>
        </w:rPr>
        <w:t>硅、铝、铁、钾、钠、钙、镁质量分数乘以转换系数后以氧化物形式表示，单位</w:t>
      </w:r>
      <w:r>
        <w:rPr>
          <w:rFonts w:hint="eastAsia" w:ascii="Times New Roman"/>
        </w:rPr>
        <w:t>为百分数（</w:t>
      </w:r>
      <w:r>
        <w:rPr>
          <w:rFonts w:ascii="Times New Roman"/>
        </w:rPr>
        <w:t>%</w:t>
      </w:r>
      <w:r>
        <w:rPr>
          <w:rFonts w:hint="eastAsia" w:ascii="Times New Roman"/>
        </w:rPr>
        <w:t>）</w:t>
      </w:r>
      <w:r>
        <w:rPr>
          <w:rFonts w:ascii="Times New Roman"/>
        </w:rPr>
        <w:t>，转换系数见表1，测定结果大于1%保留至小数点后两位，测试结果小于1%保留至小数点后三位。</w:t>
      </w:r>
    </w:p>
    <w:p>
      <w:pPr>
        <w:pStyle w:val="56"/>
        <w:ind w:firstLine="420"/>
        <w:rPr>
          <w:rFonts w:ascii="Times New Roman"/>
        </w:rPr>
      </w:pPr>
      <w:r>
        <w:rPr>
          <w:rFonts w:ascii="Times New Roman"/>
        </w:rPr>
        <w:t>锰、磷、钛、硫以</w:t>
      </w:r>
      <w:r>
        <w:rPr>
          <w:rFonts w:hint="eastAsia" w:ascii="Times New Roman"/>
        </w:rPr>
        <w:t>单质元素表示，</w:t>
      </w:r>
      <w:r>
        <w:rPr>
          <w:rFonts w:ascii="Times New Roman"/>
        </w:rPr>
        <w:t>单位</w:t>
      </w:r>
      <w:r>
        <w:rPr>
          <w:rFonts w:hint="eastAsia" w:ascii="Times New Roman"/>
        </w:rPr>
        <w:t>为毫克每千克（</w:t>
      </w:r>
      <w:r>
        <w:rPr>
          <w:rFonts w:ascii="Times New Roman"/>
        </w:rPr>
        <w:t>mg/kg</w:t>
      </w:r>
      <w:r>
        <w:rPr>
          <w:rFonts w:hint="eastAsia" w:ascii="Times New Roman"/>
        </w:rPr>
        <w:t>）</w:t>
      </w:r>
      <w:r>
        <w:rPr>
          <w:rFonts w:ascii="Times New Roman"/>
        </w:rPr>
        <w:t>，测定结果保留至整数位。</w:t>
      </w:r>
    </w:p>
    <w:p>
      <w:pPr>
        <w:pStyle w:val="112"/>
        <w:spacing w:before="120" w:after="120"/>
        <w:rPr>
          <w:rFonts w:ascii="Times New Roman"/>
        </w:rPr>
      </w:pPr>
      <w:r>
        <w:rPr>
          <w:rFonts w:ascii="Times New Roman"/>
        </w:rPr>
        <w:t>目标元素与其氧化物转换系数</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4"/>
        <w:gridCol w:w="3115"/>
        <w:gridCol w:w="31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4" w:type="dxa"/>
            <w:tcBorders>
              <w:top w:val="single" w:color="auto" w:sz="8" w:space="0"/>
              <w:bottom w:val="single" w:color="auto" w:sz="8" w:space="0"/>
            </w:tcBorders>
            <w:shd w:val="clear" w:color="auto" w:fill="auto"/>
            <w:vAlign w:val="center"/>
          </w:tcPr>
          <w:p>
            <w:pPr>
              <w:pStyle w:val="178"/>
              <w:rPr>
                <w:rFonts w:ascii="Times New Roman"/>
              </w:rPr>
            </w:pPr>
            <w:r>
              <w:rPr>
                <w:rFonts w:ascii="Times New Roman"/>
              </w:rPr>
              <w:t>元素</w:t>
            </w:r>
          </w:p>
        </w:tc>
        <w:tc>
          <w:tcPr>
            <w:tcW w:w="3115" w:type="dxa"/>
            <w:tcBorders>
              <w:top w:val="single" w:color="auto" w:sz="8" w:space="0"/>
              <w:bottom w:val="single" w:color="auto" w:sz="8" w:space="0"/>
            </w:tcBorders>
            <w:shd w:val="clear" w:color="auto" w:fill="auto"/>
            <w:vAlign w:val="center"/>
          </w:tcPr>
          <w:p>
            <w:pPr>
              <w:pStyle w:val="178"/>
            </w:pPr>
            <w:r>
              <w:rPr>
                <w:rFonts w:hint="eastAsia"/>
              </w:rPr>
              <w:t>氧化物</w:t>
            </w:r>
          </w:p>
        </w:tc>
        <w:tc>
          <w:tcPr>
            <w:tcW w:w="3115" w:type="dxa"/>
            <w:tcBorders>
              <w:top w:val="single" w:color="auto" w:sz="8" w:space="0"/>
              <w:bottom w:val="single" w:color="auto" w:sz="8" w:space="0"/>
            </w:tcBorders>
            <w:shd w:val="clear" w:color="auto" w:fill="auto"/>
            <w:vAlign w:val="center"/>
          </w:tcPr>
          <w:p>
            <w:pPr>
              <w:pStyle w:val="178"/>
            </w:pPr>
            <w:r>
              <w:rPr>
                <w:rFonts w:hint="eastAsia"/>
              </w:rPr>
              <w:t>转换系数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tcBorders>
              <w:top w:val="single" w:color="auto" w:sz="8" w:space="0"/>
            </w:tcBorders>
            <w:shd w:val="clear" w:color="auto" w:fill="auto"/>
            <w:vAlign w:val="center"/>
          </w:tcPr>
          <w:p>
            <w:pPr>
              <w:pStyle w:val="178"/>
              <w:rPr>
                <w:rFonts w:ascii="Times New Roman"/>
              </w:rPr>
            </w:pPr>
            <w:r>
              <w:rPr>
                <w:rFonts w:ascii="Times New Roman"/>
              </w:rPr>
              <w:t>Si</w:t>
            </w:r>
          </w:p>
        </w:tc>
        <w:tc>
          <w:tcPr>
            <w:tcW w:w="3115" w:type="dxa"/>
            <w:tcBorders>
              <w:top w:val="single" w:color="auto" w:sz="8" w:space="0"/>
            </w:tcBorders>
            <w:shd w:val="clear" w:color="auto" w:fill="auto"/>
            <w:vAlign w:val="center"/>
          </w:tcPr>
          <w:p>
            <w:pPr>
              <w:pStyle w:val="178"/>
              <w:rPr>
                <w:rFonts w:ascii="Times New Roman"/>
              </w:rPr>
            </w:pPr>
            <w:r>
              <w:rPr>
                <w:rFonts w:ascii="Times New Roman"/>
                <w:color w:val="000000" w:themeColor="text1"/>
                <w:szCs w:val="18"/>
                <w14:textFill>
                  <w14:solidFill>
                    <w14:schemeClr w14:val="tx1"/>
                  </w14:solidFill>
                </w14:textFill>
              </w:rPr>
              <w:t>SiO</w:t>
            </w:r>
            <w:r>
              <w:rPr>
                <w:rFonts w:ascii="Times New Roman"/>
                <w:color w:val="000000" w:themeColor="text1"/>
                <w:szCs w:val="18"/>
                <w:vertAlign w:val="subscript"/>
                <w14:textFill>
                  <w14:solidFill>
                    <w14:schemeClr w14:val="tx1"/>
                  </w14:solidFill>
                </w14:textFill>
              </w:rPr>
              <w:t>2</w:t>
            </w:r>
          </w:p>
        </w:tc>
        <w:tc>
          <w:tcPr>
            <w:tcW w:w="3115" w:type="dxa"/>
            <w:tcBorders>
              <w:top w:val="single" w:color="auto" w:sz="8" w:space="0"/>
            </w:tcBorders>
            <w:shd w:val="clear" w:color="auto" w:fill="auto"/>
            <w:vAlign w:val="center"/>
          </w:tcPr>
          <w:p>
            <w:pPr>
              <w:pStyle w:val="178"/>
              <w:rPr>
                <w:rFonts w:ascii="Times New Roman"/>
              </w:rPr>
            </w:pPr>
            <w:r>
              <w:rPr>
                <w:rFonts w:ascii="Times New Roman"/>
              </w:rPr>
              <w:t>2.1393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pPr>
              <w:pStyle w:val="178"/>
              <w:rPr>
                <w:rFonts w:ascii="Times New Roman"/>
              </w:rPr>
            </w:pPr>
            <w:r>
              <w:rPr>
                <w:rFonts w:ascii="Times New Roman"/>
              </w:rPr>
              <w:t>Al</w:t>
            </w:r>
          </w:p>
        </w:tc>
        <w:tc>
          <w:tcPr>
            <w:tcW w:w="3115" w:type="dxa"/>
            <w:shd w:val="clear" w:color="auto" w:fill="auto"/>
            <w:vAlign w:val="center"/>
          </w:tcPr>
          <w:p>
            <w:pPr>
              <w:pStyle w:val="178"/>
              <w:rPr>
                <w:rFonts w:ascii="Times New Roman"/>
              </w:rPr>
            </w:pPr>
            <w:r>
              <w:rPr>
                <w:rFonts w:ascii="Times New Roman"/>
                <w:color w:val="000000" w:themeColor="text1"/>
                <w:szCs w:val="18"/>
                <w14:textFill>
                  <w14:solidFill>
                    <w14:schemeClr w14:val="tx1"/>
                  </w14:solidFill>
                </w14:textFill>
              </w:rPr>
              <w:t>Al</w:t>
            </w:r>
            <w:r>
              <w:rPr>
                <w:rFonts w:ascii="Times New Roman"/>
                <w:color w:val="000000" w:themeColor="text1"/>
                <w:szCs w:val="18"/>
                <w:vertAlign w:val="subscript"/>
                <w14:textFill>
                  <w14:solidFill>
                    <w14:schemeClr w14:val="tx1"/>
                  </w14:solidFill>
                </w14:textFill>
              </w:rPr>
              <w:t>2</w:t>
            </w:r>
            <w:r>
              <w:rPr>
                <w:rFonts w:ascii="Times New Roman"/>
                <w:color w:val="000000" w:themeColor="text1"/>
                <w:szCs w:val="18"/>
                <w14:textFill>
                  <w14:solidFill>
                    <w14:schemeClr w14:val="tx1"/>
                  </w14:solidFill>
                </w14:textFill>
              </w:rPr>
              <w:t>O</w:t>
            </w:r>
            <w:r>
              <w:rPr>
                <w:rFonts w:ascii="Times New Roman"/>
                <w:color w:val="000000" w:themeColor="text1"/>
                <w:szCs w:val="18"/>
                <w:vertAlign w:val="subscript"/>
                <w14:textFill>
                  <w14:solidFill>
                    <w14:schemeClr w14:val="tx1"/>
                  </w14:solidFill>
                </w14:textFill>
              </w:rPr>
              <w:t>3</w:t>
            </w:r>
          </w:p>
        </w:tc>
        <w:tc>
          <w:tcPr>
            <w:tcW w:w="3115" w:type="dxa"/>
            <w:shd w:val="clear" w:color="auto" w:fill="auto"/>
            <w:vAlign w:val="center"/>
          </w:tcPr>
          <w:p>
            <w:pPr>
              <w:pStyle w:val="178"/>
              <w:rPr>
                <w:rFonts w:ascii="Times New Roman"/>
              </w:rPr>
            </w:pPr>
            <w:r>
              <w:rPr>
                <w:rFonts w:ascii="Times New Roman"/>
              </w:rPr>
              <w:t>1.8895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pPr>
              <w:pStyle w:val="178"/>
              <w:rPr>
                <w:rFonts w:ascii="Times New Roman"/>
              </w:rPr>
            </w:pPr>
            <w:r>
              <w:rPr>
                <w:rFonts w:ascii="Times New Roman"/>
              </w:rPr>
              <w:t>Fe</w:t>
            </w:r>
          </w:p>
        </w:tc>
        <w:tc>
          <w:tcPr>
            <w:tcW w:w="3115" w:type="dxa"/>
            <w:shd w:val="clear" w:color="auto" w:fill="auto"/>
            <w:vAlign w:val="center"/>
          </w:tcPr>
          <w:p>
            <w:pPr>
              <w:pStyle w:val="178"/>
              <w:rPr>
                <w:rFonts w:ascii="Times New Roman"/>
              </w:rPr>
            </w:pPr>
            <w:r>
              <w:rPr>
                <w:rFonts w:ascii="Times New Roman"/>
                <w:color w:val="000000" w:themeColor="text1"/>
                <w:szCs w:val="18"/>
                <w14:textFill>
                  <w14:solidFill>
                    <w14:schemeClr w14:val="tx1"/>
                  </w14:solidFill>
                </w14:textFill>
              </w:rPr>
              <w:t>Fe</w:t>
            </w:r>
            <w:r>
              <w:rPr>
                <w:rFonts w:ascii="Times New Roman"/>
                <w:color w:val="000000" w:themeColor="text1"/>
                <w:szCs w:val="18"/>
                <w:vertAlign w:val="subscript"/>
                <w14:textFill>
                  <w14:solidFill>
                    <w14:schemeClr w14:val="tx1"/>
                  </w14:solidFill>
                </w14:textFill>
              </w:rPr>
              <w:t>2</w:t>
            </w:r>
            <w:r>
              <w:rPr>
                <w:rFonts w:ascii="Times New Roman"/>
                <w:color w:val="000000" w:themeColor="text1"/>
                <w:szCs w:val="18"/>
                <w14:textFill>
                  <w14:solidFill>
                    <w14:schemeClr w14:val="tx1"/>
                  </w14:solidFill>
                </w14:textFill>
              </w:rPr>
              <w:t>O</w:t>
            </w:r>
            <w:r>
              <w:rPr>
                <w:rFonts w:ascii="Times New Roman"/>
                <w:color w:val="000000" w:themeColor="text1"/>
                <w:szCs w:val="18"/>
                <w:vertAlign w:val="subscript"/>
                <w14:textFill>
                  <w14:solidFill>
                    <w14:schemeClr w14:val="tx1"/>
                  </w14:solidFill>
                </w14:textFill>
              </w:rPr>
              <w:t>3</w:t>
            </w:r>
          </w:p>
        </w:tc>
        <w:tc>
          <w:tcPr>
            <w:tcW w:w="3115" w:type="dxa"/>
            <w:shd w:val="clear" w:color="auto" w:fill="auto"/>
            <w:vAlign w:val="center"/>
          </w:tcPr>
          <w:p>
            <w:pPr>
              <w:pStyle w:val="178"/>
              <w:rPr>
                <w:rFonts w:ascii="Times New Roman"/>
              </w:rPr>
            </w:pPr>
            <w:r>
              <w:rPr>
                <w:rFonts w:ascii="Times New Roman"/>
              </w:rPr>
              <w:t>1.4297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pPr>
              <w:pStyle w:val="178"/>
              <w:rPr>
                <w:rFonts w:ascii="Times New Roman"/>
              </w:rPr>
            </w:pPr>
            <w:r>
              <w:rPr>
                <w:rFonts w:ascii="Times New Roman"/>
              </w:rPr>
              <w:t>K</w:t>
            </w:r>
          </w:p>
        </w:tc>
        <w:tc>
          <w:tcPr>
            <w:tcW w:w="3115" w:type="dxa"/>
            <w:shd w:val="clear" w:color="auto" w:fill="auto"/>
            <w:vAlign w:val="center"/>
          </w:tcPr>
          <w:p>
            <w:pPr>
              <w:pStyle w:val="178"/>
              <w:rPr>
                <w:rFonts w:ascii="Times New Roman"/>
              </w:rPr>
            </w:pPr>
            <w:r>
              <w:rPr>
                <w:rFonts w:ascii="Times New Roman"/>
                <w:color w:val="000000" w:themeColor="text1"/>
                <w:szCs w:val="18"/>
                <w14:textFill>
                  <w14:solidFill>
                    <w14:schemeClr w14:val="tx1"/>
                  </w14:solidFill>
                </w14:textFill>
              </w:rPr>
              <w:t>K</w:t>
            </w:r>
            <w:r>
              <w:rPr>
                <w:rFonts w:ascii="Times New Roman"/>
                <w:color w:val="000000" w:themeColor="text1"/>
                <w:szCs w:val="18"/>
                <w:vertAlign w:val="subscript"/>
                <w14:textFill>
                  <w14:solidFill>
                    <w14:schemeClr w14:val="tx1"/>
                  </w14:solidFill>
                </w14:textFill>
              </w:rPr>
              <w:t>2</w:t>
            </w:r>
            <w:r>
              <w:rPr>
                <w:rFonts w:ascii="Times New Roman"/>
                <w:color w:val="000000" w:themeColor="text1"/>
                <w:szCs w:val="18"/>
                <w14:textFill>
                  <w14:solidFill>
                    <w14:schemeClr w14:val="tx1"/>
                  </w14:solidFill>
                </w14:textFill>
              </w:rPr>
              <w:t>O</w:t>
            </w:r>
          </w:p>
        </w:tc>
        <w:tc>
          <w:tcPr>
            <w:tcW w:w="3115" w:type="dxa"/>
            <w:shd w:val="clear" w:color="auto" w:fill="auto"/>
            <w:vAlign w:val="center"/>
          </w:tcPr>
          <w:p>
            <w:pPr>
              <w:pStyle w:val="178"/>
              <w:rPr>
                <w:rFonts w:ascii="Times New Roman"/>
              </w:rPr>
            </w:pPr>
            <w:r>
              <w:rPr>
                <w:rFonts w:ascii="Times New Roman"/>
              </w:rPr>
              <w:t>1.2046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pPr>
              <w:pStyle w:val="178"/>
              <w:rPr>
                <w:rFonts w:ascii="Times New Roman"/>
              </w:rPr>
            </w:pPr>
            <w:r>
              <w:rPr>
                <w:rFonts w:ascii="Times New Roman"/>
              </w:rPr>
              <w:t>Na</w:t>
            </w:r>
          </w:p>
        </w:tc>
        <w:tc>
          <w:tcPr>
            <w:tcW w:w="3115" w:type="dxa"/>
            <w:shd w:val="clear" w:color="auto" w:fill="auto"/>
            <w:vAlign w:val="center"/>
          </w:tcPr>
          <w:p>
            <w:pPr>
              <w:pStyle w:val="178"/>
              <w:rPr>
                <w:rFonts w:ascii="Times New Roman"/>
              </w:rPr>
            </w:pPr>
            <w:r>
              <w:rPr>
                <w:rFonts w:ascii="Times New Roman"/>
                <w:color w:val="000000" w:themeColor="text1"/>
                <w:szCs w:val="18"/>
                <w14:textFill>
                  <w14:solidFill>
                    <w14:schemeClr w14:val="tx1"/>
                  </w14:solidFill>
                </w14:textFill>
              </w:rPr>
              <w:t>Na</w:t>
            </w:r>
            <w:r>
              <w:rPr>
                <w:rFonts w:ascii="Times New Roman"/>
                <w:color w:val="000000" w:themeColor="text1"/>
                <w:szCs w:val="18"/>
                <w:vertAlign w:val="subscript"/>
                <w14:textFill>
                  <w14:solidFill>
                    <w14:schemeClr w14:val="tx1"/>
                  </w14:solidFill>
                </w14:textFill>
              </w:rPr>
              <w:t>2</w:t>
            </w:r>
            <w:r>
              <w:rPr>
                <w:rFonts w:ascii="Times New Roman"/>
                <w:color w:val="000000" w:themeColor="text1"/>
                <w:szCs w:val="18"/>
                <w14:textFill>
                  <w14:solidFill>
                    <w14:schemeClr w14:val="tx1"/>
                  </w14:solidFill>
                </w14:textFill>
              </w:rPr>
              <w:t>O</w:t>
            </w:r>
          </w:p>
        </w:tc>
        <w:tc>
          <w:tcPr>
            <w:tcW w:w="3115" w:type="dxa"/>
            <w:shd w:val="clear" w:color="auto" w:fill="auto"/>
            <w:vAlign w:val="center"/>
          </w:tcPr>
          <w:p>
            <w:pPr>
              <w:pStyle w:val="178"/>
              <w:rPr>
                <w:rFonts w:ascii="Times New Roman"/>
              </w:rPr>
            </w:pPr>
            <w:r>
              <w:rPr>
                <w:rFonts w:ascii="Times New Roman"/>
              </w:rPr>
              <w:t>1.3480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pPr>
              <w:pStyle w:val="178"/>
              <w:rPr>
                <w:rFonts w:ascii="Times New Roman"/>
              </w:rPr>
            </w:pPr>
            <w:r>
              <w:rPr>
                <w:rFonts w:ascii="Times New Roman"/>
              </w:rPr>
              <w:t>Ca</w:t>
            </w:r>
          </w:p>
        </w:tc>
        <w:tc>
          <w:tcPr>
            <w:tcW w:w="3115" w:type="dxa"/>
            <w:shd w:val="clear" w:color="auto" w:fill="auto"/>
            <w:vAlign w:val="center"/>
          </w:tcPr>
          <w:p>
            <w:pPr>
              <w:pStyle w:val="178"/>
              <w:rPr>
                <w:rFonts w:ascii="Times New Roman"/>
              </w:rPr>
            </w:pPr>
            <w:r>
              <w:rPr>
                <w:rFonts w:ascii="Times New Roman"/>
              </w:rPr>
              <w:t>CaO</w:t>
            </w:r>
          </w:p>
        </w:tc>
        <w:tc>
          <w:tcPr>
            <w:tcW w:w="3115" w:type="dxa"/>
            <w:shd w:val="clear" w:color="auto" w:fill="auto"/>
            <w:vAlign w:val="center"/>
          </w:tcPr>
          <w:p>
            <w:pPr>
              <w:pStyle w:val="178"/>
              <w:rPr>
                <w:rFonts w:ascii="Times New Roman"/>
              </w:rPr>
            </w:pPr>
            <w:r>
              <w:rPr>
                <w:rFonts w:ascii="Times New Roman"/>
              </w:rPr>
              <w:t>1.3992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pPr>
              <w:pStyle w:val="178"/>
              <w:rPr>
                <w:rFonts w:ascii="Times New Roman"/>
              </w:rPr>
            </w:pPr>
            <w:r>
              <w:rPr>
                <w:rFonts w:ascii="Times New Roman"/>
              </w:rPr>
              <w:t>Mg</w:t>
            </w:r>
          </w:p>
        </w:tc>
        <w:tc>
          <w:tcPr>
            <w:tcW w:w="3115" w:type="dxa"/>
            <w:shd w:val="clear" w:color="auto" w:fill="auto"/>
            <w:vAlign w:val="center"/>
          </w:tcPr>
          <w:p>
            <w:pPr>
              <w:pStyle w:val="178"/>
              <w:rPr>
                <w:rFonts w:ascii="Times New Roman"/>
              </w:rPr>
            </w:pPr>
            <w:r>
              <w:rPr>
                <w:rFonts w:ascii="Times New Roman"/>
              </w:rPr>
              <w:t>MgO</w:t>
            </w:r>
          </w:p>
        </w:tc>
        <w:tc>
          <w:tcPr>
            <w:tcW w:w="3115" w:type="dxa"/>
            <w:shd w:val="clear" w:color="auto" w:fill="auto"/>
            <w:vAlign w:val="center"/>
          </w:tcPr>
          <w:p>
            <w:pPr>
              <w:pStyle w:val="178"/>
              <w:rPr>
                <w:rFonts w:ascii="Times New Roman"/>
              </w:rPr>
            </w:pPr>
            <w:r>
              <w:rPr>
                <w:rFonts w:ascii="Times New Roman"/>
              </w:rPr>
              <w:t>1.6583</w:t>
            </w:r>
          </w:p>
        </w:tc>
      </w:tr>
    </w:tbl>
    <w:p>
      <w:pPr>
        <w:pStyle w:val="104"/>
        <w:spacing w:before="240" w:after="240"/>
      </w:pPr>
      <w:bookmarkStart w:id="83" w:name="_Toc124409545"/>
      <w:r>
        <w:rPr>
          <w:rFonts w:hint="eastAsia"/>
        </w:rPr>
        <w:t>准确度</w:t>
      </w:r>
      <w:bookmarkEnd w:id="83"/>
    </w:p>
    <w:p>
      <w:pPr>
        <w:pStyle w:val="105"/>
        <w:spacing w:before="120" w:after="120"/>
        <w:ind w:left="284"/>
      </w:pPr>
      <w:r>
        <w:rPr>
          <w:rFonts w:hint="eastAsia"/>
        </w:rPr>
        <w:t>精密度</w:t>
      </w:r>
    </w:p>
    <w:p>
      <w:pPr>
        <w:pStyle w:val="56"/>
        <w:ind w:firstLine="420"/>
        <w:rPr>
          <w:rFonts w:ascii="Times New Roman"/>
        </w:rPr>
      </w:pPr>
      <w:r>
        <w:rPr>
          <w:rFonts w:hint="eastAsia" w:ascii="Times New Roman"/>
        </w:rPr>
        <w:t>精密度汇总数据参见附录D.1-D.2。</w:t>
      </w:r>
    </w:p>
    <w:p>
      <w:pPr>
        <w:pStyle w:val="105"/>
        <w:spacing w:before="120" w:after="120"/>
        <w:ind w:left="284"/>
      </w:pPr>
      <w:r>
        <w:rPr>
          <w:rFonts w:hint="eastAsia"/>
        </w:rPr>
        <w:t>正确度</w:t>
      </w:r>
    </w:p>
    <w:p>
      <w:pPr>
        <w:pStyle w:val="56"/>
        <w:ind w:firstLine="420"/>
      </w:pPr>
      <w:r>
        <w:rPr>
          <w:rFonts w:hint="eastAsia"/>
        </w:rPr>
        <w:t>正确度汇总数据</w:t>
      </w:r>
      <w:r>
        <w:rPr>
          <w:rFonts w:hint="eastAsia" w:ascii="Times New Roman"/>
        </w:rPr>
        <w:t>参见</w:t>
      </w:r>
      <w:r>
        <w:rPr>
          <w:rFonts w:hint="eastAsia"/>
        </w:rPr>
        <w:t>附录</w:t>
      </w:r>
      <w:r>
        <w:rPr>
          <w:rFonts w:ascii="Times New Roman"/>
        </w:rPr>
        <w:t>D.3</w:t>
      </w:r>
      <w:r>
        <w:rPr>
          <w:rFonts w:hint="eastAsia" w:ascii="Times New Roman"/>
        </w:rPr>
        <w:t>-</w:t>
      </w:r>
      <w:r>
        <w:rPr>
          <w:rFonts w:ascii="Times New Roman"/>
        </w:rPr>
        <w:t>D5</w:t>
      </w:r>
      <w:r>
        <w:rPr>
          <w:rFonts w:hint="eastAsia"/>
        </w:rPr>
        <w:t>。</w:t>
      </w:r>
    </w:p>
    <w:p>
      <w:pPr>
        <w:pStyle w:val="104"/>
        <w:spacing w:before="240" w:after="240"/>
      </w:pPr>
      <w:bookmarkStart w:id="84" w:name="_Toc121814058"/>
      <w:bookmarkStart w:id="85" w:name="_Toc124409546"/>
      <w:r>
        <w:rPr>
          <w:rFonts w:hint="eastAsia"/>
        </w:rPr>
        <w:t>质量保证和控制</w:t>
      </w:r>
      <w:bookmarkEnd w:id="84"/>
      <w:bookmarkEnd w:id="85"/>
    </w:p>
    <w:p>
      <w:pPr>
        <w:pStyle w:val="105"/>
        <w:spacing w:before="120" w:after="120"/>
        <w:ind w:left="284"/>
      </w:pPr>
      <w:bookmarkStart w:id="86" w:name="_Toc121814059"/>
      <w:r>
        <w:rPr>
          <w:rFonts w:hint="eastAsia"/>
        </w:rPr>
        <w:t>校准有效性检查</w:t>
      </w:r>
      <w:bookmarkEnd w:id="86"/>
    </w:p>
    <w:p>
      <w:pPr>
        <w:pStyle w:val="56"/>
        <w:ind w:firstLine="420"/>
        <w:rPr>
          <w:rFonts w:ascii="Times New Roman"/>
        </w:rPr>
      </w:pPr>
      <w:r>
        <w:rPr>
          <w:rFonts w:hint="eastAsia" w:ascii="Times New Roman"/>
        </w:rPr>
        <w:t>每次分析均应建立校准曲线，校准曲线的相关系数r≥0.995。</w:t>
      </w:r>
    </w:p>
    <w:p>
      <w:pPr>
        <w:pStyle w:val="56"/>
        <w:ind w:firstLine="420"/>
        <w:rPr>
          <w:rFonts w:ascii="Times New Roman"/>
        </w:rPr>
      </w:pPr>
      <w:r>
        <w:rPr>
          <w:rFonts w:hint="eastAsia" w:ascii="Times New Roman"/>
        </w:rPr>
        <w:t>每分析20个样品应选用一个校准曲线中的土壤有证标准物质进行校准核查，其测定结果与最近一次校准曲线该点浓度的相对偏差应满足表2要求；否则，应进行仪器漂移校正，并重新绘制校准曲线。</w:t>
      </w:r>
    </w:p>
    <w:p>
      <w:pPr>
        <w:pStyle w:val="112"/>
        <w:spacing w:before="120" w:after="120"/>
        <w:rPr>
          <w:rFonts w:ascii="Times New Roman"/>
        </w:rPr>
      </w:pPr>
      <w:r>
        <w:rPr>
          <w:rFonts w:ascii="Times New Roman"/>
        </w:rPr>
        <w:t>校准曲线相对偏差允许范围</w:t>
      </w:r>
    </w:p>
    <w:tbl>
      <w:tblPr>
        <w:tblStyle w:val="2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67"/>
        <w:gridCol w:w="4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67" w:type="dxa"/>
            <w:tcBorders>
              <w:top w:val="single" w:color="auto" w:sz="8" w:space="0"/>
              <w:bottom w:val="single" w:color="auto" w:sz="8" w:space="0"/>
            </w:tcBorders>
          </w:tcPr>
          <w:p>
            <w:pPr>
              <w:pStyle w:val="178"/>
              <w:rPr>
                <w:rFonts w:ascii="Times New Roman"/>
              </w:rPr>
            </w:pPr>
            <w:r>
              <w:rPr>
                <w:rFonts w:ascii="Times New Roman"/>
              </w:rPr>
              <w:t>含量范围（%）</w:t>
            </w:r>
          </w:p>
        </w:tc>
        <w:tc>
          <w:tcPr>
            <w:tcW w:w="4667" w:type="dxa"/>
            <w:tcBorders>
              <w:top w:val="single" w:color="auto" w:sz="8" w:space="0"/>
              <w:bottom w:val="single" w:color="auto" w:sz="8" w:space="0"/>
            </w:tcBorders>
            <w:shd w:val="clear" w:color="auto" w:fill="auto"/>
            <w:vAlign w:val="center"/>
          </w:tcPr>
          <w:p>
            <w:pPr>
              <w:pStyle w:val="178"/>
              <w:rPr>
                <w:rFonts w:ascii="Times New Roman"/>
              </w:rPr>
            </w:pPr>
            <w:r>
              <w:rPr>
                <w:rFonts w:ascii="Times New Roman"/>
              </w:rPr>
              <w:t>相对偏差（%）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Borders>
              <w:top w:val="single" w:color="auto" w:sz="8" w:space="0"/>
            </w:tcBorders>
          </w:tcPr>
          <w:p>
            <w:pPr>
              <w:pStyle w:val="178"/>
              <w:rPr>
                <w:rFonts w:ascii="Times New Roman"/>
              </w:rPr>
            </w:pPr>
            <w:r>
              <w:rPr>
                <w:rFonts w:ascii="Times New Roman"/>
              </w:rPr>
              <w:t>＞0.2</w:t>
            </w:r>
          </w:p>
        </w:tc>
        <w:tc>
          <w:tcPr>
            <w:tcW w:w="4667" w:type="dxa"/>
            <w:tcBorders>
              <w:top w:val="single" w:color="auto" w:sz="8" w:space="0"/>
            </w:tcBorders>
            <w:shd w:val="clear" w:color="auto" w:fill="auto"/>
          </w:tcPr>
          <w:p>
            <w:pPr>
              <w:pStyle w:val="178"/>
              <w:rPr>
                <w:rFonts w:ascii="Times New Roman"/>
              </w:rPr>
            </w:pPr>
            <w:r>
              <w:rPr>
                <w:rFonts w:ascii="Times New Roma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67" w:type="dxa"/>
          </w:tcPr>
          <w:p>
            <w:pPr>
              <w:pStyle w:val="178"/>
              <w:rPr>
                <w:rFonts w:ascii="Times New Roman"/>
              </w:rPr>
            </w:pPr>
            <w:r>
              <w:rPr>
                <w:rFonts w:ascii="Times New Roman"/>
              </w:rPr>
              <w:t>≤0.2</w:t>
            </w:r>
          </w:p>
        </w:tc>
        <w:tc>
          <w:tcPr>
            <w:tcW w:w="4667" w:type="dxa"/>
            <w:shd w:val="clear" w:color="auto" w:fill="auto"/>
          </w:tcPr>
          <w:p>
            <w:pPr>
              <w:pStyle w:val="178"/>
              <w:rPr>
                <w:rFonts w:ascii="Times New Roman"/>
              </w:rPr>
            </w:pPr>
            <w:r>
              <w:rPr>
                <w:rFonts w:ascii="Times New Roman"/>
              </w:rPr>
              <w:t>≤10%</w:t>
            </w:r>
          </w:p>
        </w:tc>
      </w:tr>
    </w:tbl>
    <w:p>
      <w:pPr>
        <w:pStyle w:val="105"/>
        <w:spacing w:before="120" w:after="120"/>
      </w:pPr>
      <w:bookmarkStart w:id="87" w:name="_Toc121814060"/>
      <w:r>
        <w:rPr>
          <w:rFonts w:hint="eastAsia"/>
        </w:rPr>
        <w:t>精密度控制</w:t>
      </w:r>
      <w:bookmarkEnd w:id="87"/>
    </w:p>
    <w:p>
      <w:pPr>
        <w:pStyle w:val="56"/>
        <w:ind w:firstLine="420"/>
        <w:rPr>
          <w:rFonts w:ascii="Times New Roman"/>
        </w:rPr>
      </w:pPr>
      <w:r>
        <w:rPr>
          <w:rFonts w:ascii="Times New Roman"/>
        </w:rPr>
        <w:t>每20个样品或每批次（少于20个样品时）应测定至少1个平行样，平行样品测定结果的相对偏差应控制在±5%以内</w:t>
      </w:r>
      <w:r>
        <w:rPr>
          <w:rFonts w:hint="eastAsia" w:ascii="Times New Roman"/>
        </w:rPr>
        <w:t>；否则，应进行仪器漂移校正，并重新绘制校准曲线。</w:t>
      </w:r>
    </w:p>
    <w:p>
      <w:pPr>
        <w:pStyle w:val="105"/>
        <w:spacing w:before="120" w:after="120"/>
      </w:pPr>
      <w:bookmarkStart w:id="88" w:name="_Toc121814061"/>
      <w:r>
        <w:rPr>
          <w:rFonts w:hint="eastAsia"/>
        </w:rPr>
        <w:t>准确度控制</w:t>
      </w:r>
      <w:bookmarkEnd w:id="88"/>
    </w:p>
    <w:p>
      <w:pPr>
        <w:pStyle w:val="56"/>
        <w:ind w:firstLine="420"/>
        <w:rPr>
          <w:rFonts w:ascii="Times New Roman"/>
        </w:rPr>
      </w:pPr>
      <w:r>
        <w:rPr>
          <w:rFonts w:ascii="Times New Roman"/>
        </w:rPr>
        <w:t>每批样品至少分析2个土壤有证标准物质，有证标准物质测定结果与指定值相对误差应满足表3的要求</w:t>
      </w:r>
      <w:r>
        <w:rPr>
          <w:rFonts w:hint="eastAsia" w:ascii="Times New Roman"/>
        </w:rPr>
        <w:t>；否则，应进行仪器漂移校正，并重新绘制校准曲线。</w:t>
      </w:r>
    </w:p>
    <w:p>
      <w:pPr>
        <w:pStyle w:val="112"/>
        <w:spacing w:before="120" w:after="120"/>
        <w:rPr>
          <w:rFonts w:ascii="Times New Roman"/>
        </w:rPr>
      </w:pPr>
      <w:r>
        <w:rPr>
          <w:rFonts w:ascii="Times New Roman"/>
        </w:rPr>
        <w:t>有证标准物质允许相对误差范围</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392"/>
        <w:gridCol w:w="32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392" w:type="dxa"/>
            <w:tcBorders>
              <w:top w:val="single" w:color="auto" w:sz="8" w:space="0"/>
              <w:bottom w:val="single" w:color="auto" w:sz="8" w:space="0"/>
            </w:tcBorders>
            <w:shd w:val="clear" w:color="auto" w:fill="auto"/>
            <w:vAlign w:val="center"/>
          </w:tcPr>
          <w:p>
            <w:pPr>
              <w:pStyle w:val="178"/>
              <w:rPr>
                <w:rFonts w:ascii="Times New Roman"/>
              </w:rPr>
            </w:pPr>
            <w:r>
              <w:rPr>
                <w:rFonts w:ascii="Times New Roman"/>
              </w:rPr>
              <w:t>元素名称</w:t>
            </w:r>
          </w:p>
        </w:tc>
        <w:tc>
          <w:tcPr>
            <w:tcW w:w="3261" w:type="dxa"/>
            <w:tcBorders>
              <w:top w:val="single" w:color="auto" w:sz="8" w:space="0"/>
              <w:bottom w:val="single" w:color="auto" w:sz="8" w:space="0"/>
            </w:tcBorders>
            <w:shd w:val="clear" w:color="auto" w:fill="auto"/>
            <w:vAlign w:val="center"/>
          </w:tcPr>
          <w:p>
            <w:pPr>
              <w:pStyle w:val="178"/>
              <w:rPr>
                <w:rFonts w:ascii="Times New Roman"/>
              </w:rPr>
            </w:pPr>
            <w:r>
              <w:rPr>
                <w:rFonts w:ascii="Times New Roman"/>
              </w:rPr>
              <w:t>相对误差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92" w:type="dxa"/>
            <w:tcBorders>
              <w:top w:val="single" w:color="auto" w:sz="8" w:space="0"/>
            </w:tcBorders>
            <w:shd w:val="clear" w:color="auto" w:fill="auto"/>
            <w:vAlign w:val="center"/>
          </w:tcPr>
          <w:p>
            <w:pPr>
              <w:pStyle w:val="178"/>
              <w:rPr>
                <w:rFonts w:ascii="Times New Roman"/>
              </w:rPr>
            </w:pPr>
            <w:r>
              <w:rPr>
                <w:rFonts w:ascii="Times New Roman"/>
              </w:rPr>
              <w:t>Si，Al</w:t>
            </w:r>
          </w:p>
        </w:tc>
        <w:tc>
          <w:tcPr>
            <w:tcW w:w="3261" w:type="dxa"/>
            <w:tcBorders>
              <w:top w:val="single" w:color="auto" w:sz="8" w:space="0"/>
            </w:tcBorders>
            <w:shd w:val="clear" w:color="auto" w:fill="auto"/>
            <w:vAlign w:val="center"/>
          </w:tcPr>
          <w:p>
            <w:pPr>
              <w:pStyle w:val="178"/>
              <w:rPr>
                <w:rFonts w:ascii="Times New Roman"/>
              </w:rPr>
            </w:pPr>
            <w:r>
              <w:rPr>
                <w:rFonts w:ascii="Times New Roma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392" w:type="dxa"/>
            <w:shd w:val="clear" w:color="auto" w:fill="auto"/>
            <w:vAlign w:val="center"/>
          </w:tcPr>
          <w:p>
            <w:pPr>
              <w:pStyle w:val="178"/>
              <w:rPr>
                <w:rFonts w:ascii="Times New Roman"/>
              </w:rPr>
            </w:pPr>
            <w:r>
              <w:rPr>
                <w:rFonts w:ascii="Times New Roman"/>
              </w:rPr>
              <w:t>Fe 、K、Na、Ca、Mg、Mn、P、Ti、S</w:t>
            </w:r>
          </w:p>
        </w:tc>
        <w:tc>
          <w:tcPr>
            <w:tcW w:w="3261" w:type="dxa"/>
            <w:shd w:val="clear" w:color="auto" w:fill="auto"/>
            <w:vAlign w:val="center"/>
          </w:tcPr>
          <w:p>
            <w:pPr>
              <w:pStyle w:val="178"/>
              <w:rPr>
                <w:rFonts w:ascii="Times New Roman"/>
              </w:rPr>
            </w:pPr>
            <w:r>
              <w:rPr>
                <w:rFonts w:ascii="Times New Roman"/>
              </w:rPr>
              <w:t>≤10%</w:t>
            </w:r>
          </w:p>
        </w:tc>
      </w:tr>
      <w:bookmarkEnd w:id="25"/>
    </w:tbl>
    <w:p>
      <w:pPr>
        <w:pStyle w:val="198"/>
        <w:rPr>
          <w:vanish w:val="0"/>
        </w:rPr>
      </w:pPr>
      <w:bookmarkStart w:id="89" w:name="BookMark5"/>
    </w:p>
    <w:p>
      <w:pPr>
        <w:pStyle w:val="199"/>
        <w:rPr>
          <w:vanish w:val="0"/>
        </w:rPr>
      </w:pPr>
    </w:p>
    <w:p>
      <w:pPr>
        <w:pStyle w:val="104"/>
        <w:spacing w:before="240" w:after="240"/>
      </w:pPr>
      <w:bookmarkStart w:id="90" w:name="_Toc124409547"/>
      <w:r>
        <w:rPr>
          <w:rFonts w:hint="eastAsia"/>
        </w:rPr>
        <w:t>注意事项</w:t>
      </w:r>
      <w:bookmarkEnd w:id="90"/>
    </w:p>
    <w:p>
      <w:pPr>
        <w:pStyle w:val="105"/>
        <w:spacing w:before="120" w:after="120"/>
        <w:rPr>
          <w:rFonts w:ascii="Times New Roman" w:eastAsia="宋体"/>
        </w:rPr>
      </w:pPr>
      <w:r>
        <w:rPr>
          <w:rFonts w:ascii="Times New Roman" w:eastAsia="宋体"/>
        </w:rPr>
        <w:t>更换X射线管、气氛保护等硬件后，需进行仪器校准，并重新绘制校准曲线；</w:t>
      </w:r>
    </w:p>
    <w:p>
      <w:pPr>
        <w:pStyle w:val="105"/>
        <w:spacing w:before="120" w:after="120"/>
        <w:rPr>
          <w:rFonts w:ascii="Times New Roman" w:eastAsia="宋体"/>
        </w:rPr>
        <w:sectPr>
          <w:pgSz w:w="11906" w:h="16838"/>
          <w:pgMar w:top="1928" w:right="1134" w:bottom="1134" w:left="1134" w:header="1418" w:footer="1134" w:gutter="284"/>
          <w:cols w:space="425" w:num="1"/>
          <w:formProt w:val="0"/>
          <w:docGrid w:linePitch="312" w:charSpace="0"/>
        </w:sectPr>
      </w:pPr>
      <w:r>
        <w:rPr>
          <w:rFonts w:ascii="Times New Roman" w:eastAsia="宋体"/>
        </w:rPr>
        <w:t>单波长激发-能量色散X射线荧光光谱仪属于三类辐射装置，应取得辐射豁免或者辐射安全证书</w:t>
      </w:r>
      <w:r>
        <w:rPr>
          <w:rFonts w:hint="eastAsia" w:ascii="Times New Roman" w:eastAsia="宋体"/>
        </w:rPr>
        <w:t>。</w:t>
      </w:r>
    </w:p>
    <w:p>
      <w:pPr>
        <w:pStyle w:val="105"/>
        <w:numPr>
          <w:ilvl w:val="0"/>
          <w:numId w:val="0"/>
        </w:numPr>
        <w:spacing w:before="120" w:after="120"/>
        <w:ind w:left="283"/>
        <w:sectPr>
          <w:type w:val="continuous"/>
          <w:pgSz w:w="11906" w:h="16838"/>
          <w:pgMar w:top="1928" w:right="1134" w:bottom="1134" w:left="1134" w:header="1418" w:footer="1134" w:gutter="284"/>
          <w:cols w:space="425" w:num="1"/>
          <w:formProt w:val="0"/>
          <w:docGrid w:linePitch="312" w:charSpace="0"/>
        </w:sectPr>
      </w:pPr>
    </w:p>
    <w:p>
      <w:pPr>
        <w:pStyle w:val="76"/>
        <w:spacing w:after="120"/>
      </w:pPr>
      <w:r>
        <w:br w:type="textWrapping"/>
      </w:r>
      <w:bookmarkStart w:id="91" w:name="_Toc124409548"/>
      <w:r>
        <w:rPr>
          <w:rFonts w:hint="eastAsia"/>
        </w:rPr>
        <w:t>（资料性）</w:t>
      </w:r>
      <w:r>
        <w:br w:type="textWrapping"/>
      </w:r>
      <w:r>
        <w:rPr>
          <w:rFonts w:hint="eastAsia"/>
        </w:rPr>
        <w:t>方法检出限和定量限</w:t>
      </w:r>
      <w:bookmarkEnd w:id="91"/>
    </w:p>
    <w:p>
      <w:pPr>
        <w:pStyle w:val="77"/>
        <w:spacing w:before="120" w:after="120"/>
      </w:pPr>
      <w:r>
        <w:rPr>
          <w:rFonts w:hint="eastAsia"/>
        </w:rPr>
        <w:t>方法检出限和定量限</w:t>
      </w:r>
    </w:p>
    <w:tbl>
      <w:tblPr>
        <w:tblStyle w:val="230"/>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tblHeader/>
          <w:jc w:val="center"/>
        </w:trPr>
        <w:tc>
          <w:tcPr>
            <w:tcW w:w="3110" w:type="dxa"/>
            <w:tcBorders>
              <w:top w:val="single" w:color="auto" w:sz="8" w:space="0"/>
              <w:bottom w:val="single" w:color="auto" w:sz="8" w:space="0"/>
            </w:tcBorders>
            <w:vAlign w:val="center"/>
          </w:tcPr>
          <w:p>
            <w:pPr>
              <w:snapToGrid w:val="0"/>
              <w:jc w:val="center"/>
              <w:rPr>
                <w:rFonts w:ascii="Times New Roman" w:hAnsi="Times New Roman"/>
                <w:bCs/>
                <w:color w:val="000000" w:themeColor="text1"/>
                <w:sz w:val="18"/>
                <w:szCs w:val="18"/>
                <w14:textFill>
                  <w14:solidFill>
                    <w14:schemeClr w14:val="tx1"/>
                  </w14:solidFill>
                </w14:textFill>
              </w:rPr>
            </w:pPr>
            <w:bookmarkStart w:id="92" w:name="_Hlk124322949"/>
            <w:r>
              <w:rPr>
                <w:rFonts w:ascii="Times New Roman" w:hAnsi="Times New Roman"/>
                <w:bCs/>
                <w:color w:val="000000" w:themeColor="text1"/>
                <w:sz w:val="18"/>
                <w:szCs w:val="18"/>
                <w14:textFill>
                  <w14:solidFill>
                    <w14:schemeClr w14:val="tx1"/>
                  </w14:solidFill>
                </w14:textFill>
              </w:rPr>
              <w:t>分析项目</w:t>
            </w:r>
          </w:p>
        </w:tc>
        <w:tc>
          <w:tcPr>
            <w:tcW w:w="3112" w:type="dxa"/>
            <w:tcBorders>
              <w:top w:val="single" w:color="auto" w:sz="8" w:space="0"/>
              <w:bottom w:val="single" w:color="auto" w:sz="8" w:space="0"/>
            </w:tcBorders>
            <w:vAlign w:val="center"/>
          </w:tcPr>
          <w:p>
            <w:pPr>
              <w:snapToGrid w:val="0"/>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检出限</w:t>
            </w:r>
          </w:p>
        </w:tc>
        <w:tc>
          <w:tcPr>
            <w:tcW w:w="3112" w:type="dxa"/>
            <w:tcBorders>
              <w:top w:val="single" w:color="auto" w:sz="8" w:space="0"/>
              <w:bottom w:val="single" w:color="auto" w:sz="8" w:space="0"/>
            </w:tcBorders>
            <w:vAlign w:val="center"/>
          </w:tcPr>
          <w:p>
            <w:pPr>
              <w:snapToGrid w:val="0"/>
              <w:jc w:val="center"/>
              <w:rPr>
                <w:rFonts w:ascii="Times New Roman" w:hAnsi="Times New Roman"/>
                <w:bCs/>
                <w:color w:val="000000" w:themeColor="text1"/>
                <w:sz w:val="18"/>
                <w:szCs w:val="18"/>
                <w14:textFill>
                  <w14:solidFill>
                    <w14:schemeClr w14:val="tx1"/>
                  </w14:solidFill>
                </w14:textFill>
              </w:rPr>
            </w:pPr>
            <w:r>
              <w:rPr>
                <w:rFonts w:ascii="Times New Roman" w:hAnsi="Times New Roman"/>
                <w:bCs/>
                <w:color w:val="000000" w:themeColor="text1"/>
                <w:sz w:val="18"/>
                <w:szCs w:val="18"/>
                <w14:textFill>
                  <w14:solidFill>
                    <w14:schemeClr w14:val="tx1"/>
                  </w14:solidFill>
                </w14:textFill>
              </w:rPr>
              <w:t>定量限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vAlign w:val="center"/>
          </w:tcPr>
          <w:p>
            <w:pPr>
              <w:snapToGrid w:val="0"/>
              <w:spacing w:line="240" w:lineRule="auto"/>
              <w:jc w:val="center"/>
              <w:rPr>
                <w:rFonts w:ascii="Times New Roman" w:hAnsi="Times New Roman"/>
                <w:color w:val="000000" w:themeColor="text1"/>
                <w:sz w:val="18"/>
                <w:szCs w:val="18"/>
                <w:vertAlign w:val="subscript"/>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SiO</w:t>
            </w:r>
            <w:r>
              <w:rPr>
                <w:rFonts w:ascii="Times New Roman" w:hAnsi="Times New Roman"/>
                <w:color w:val="000000" w:themeColor="text1"/>
                <w:sz w:val="18"/>
                <w:szCs w:val="18"/>
                <w:vertAlign w:val="subscript"/>
                <w14:textFill>
                  <w14:solidFill>
                    <w14:schemeClr w14:val="tx1"/>
                  </w14:solidFill>
                </w14:textFill>
              </w:rPr>
              <w:t>2</w:t>
            </w:r>
          </w:p>
        </w:tc>
        <w:tc>
          <w:tcPr>
            <w:tcW w:w="3112" w:type="dxa"/>
            <w:tcBorders>
              <w:top w:val="single" w:color="auto" w:sz="8" w:space="0"/>
            </w:tcBorders>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0.10%</w:t>
            </w:r>
          </w:p>
        </w:tc>
        <w:tc>
          <w:tcPr>
            <w:tcW w:w="3112" w:type="dxa"/>
            <w:tcBorders>
              <w:top w:val="single" w:color="auto" w:sz="8" w:space="0"/>
            </w:tcBorders>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Align w:val="center"/>
          </w:tcPr>
          <w:p>
            <w:pPr>
              <w:snapToGrid w:val="0"/>
              <w:spacing w:line="240" w:lineRule="auto"/>
              <w:jc w:val="center"/>
              <w:rPr>
                <w:rFonts w:ascii="Times New Roman" w:hAnsi="Times New Roman"/>
                <w:color w:val="000000" w:themeColor="text1"/>
                <w:sz w:val="18"/>
                <w:szCs w:val="18"/>
                <w:vertAlign w:val="subscript"/>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Al</w:t>
            </w:r>
            <w:r>
              <w:rPr>
                <w:rFonts w:ascii="Times New Roman" w:hAnsi="Times New Roman"/>
                <w:color w:val="000000" w:themeColor="text1"/>
                <w:sz w:val="18"/>
                <w:szCs w:val="18"/>
                <w:vertAlign w:val="subscript"/>
                <w14:textFill>
                  <w14:solidFill>
                    <w14:schemeClr w14:val="tx1"/>
                  </w14:solidFill>
                </w14:textFill>
              </w:rPr>
              <w:t>2</w:t>
            </w:r>
            <w:r>
              <w:rPr>
                <w:rFonts w:ascii="Times New Roman" w:hAnsi="Times New Roman"/>
                <w:color w:val="000000" w:themeColor="text1"/>
                <w:sz w:val="18"/>
                <w:szCs w:val="18"/>
                <w14:textFill>
                  <w14:solidFill>
                    <w14:schemeClr w14:val="tx1"/>
                  </w14:solidFill>
                </w14:textFill>
              </w:rPr>
              <w:t>O</w:t>
            </w:r>
            <w:r>
              <w:rPr>
                <w:rFonts w:ascii="Times New Roman" w:hAnsi="Times New Roman"/>
                <w:color w:val="000000" w:themeColor="text1"/>
                <w:sz w:val="18"/>
                <w:szCs w:val="18"/>
                <w:vertAlign w:val="subscript"/>
                <w14:textFill>
                  <w14:solidFill>
                    <w14:schemeClr w14:val="tx1"/>
                  </w14:solidFill>
                </w14:textFill>
              </w:rPr>
              <w:t>3</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0.06%</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Na</w:t>
            </w:r>
            <w:r>
              <w:rPr>
                <w:rFonts w:ascii="Times New Roman" w:hAnsi="Times New Roman"/>
                <w:color w:val="000000" w:themeColor="text1"/>
                <w:sz w:val="18"/>
                <w:szCs w:val="18"/>
                <w:vertAlign w:val="subscript"/>
                <w14:textFill>
                  <w14:solidFill>
                    <w14:schemeClr w14:val="tx1"/>
                  </w14:solidFill>
                </w14:textFill>
              </w:rPr>
              <w:t>2</w:t>
            </w:r>
            <w:r>
              <w:rPr>
                <w:rFonts w:ascii="Times New Roman" w:hAnsi="Times New Roman"/>
                <w:color w:val="000000" w:themeColor="text1"/>
                <w:sz w:val="18"/>
                <w:szCs w:val="18"/>
                <w14:textFill>
                  <w14:solidFill>
                    <w14:schemeClr w14:val="tx1"/>
                  </w14:solidFill>
                </w14:textFill>
              </w:rPr>
              <w:t>O</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0.04%</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MgO</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0.03%</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K</w:t>
            </w:r>
            <w:r>
              <w:rPr>
                <w:rFonts w:ascii="Times New Roman" w:hAnsi="Times New Roman"/>
                <w:color w:val="000000" w:themeColor="text1"/>
                <w:sz w:val="18"/>
                <w:szCs w:val="18"/>
                <w:vertAlign w:val="subscript"/>
                <w14:textFill>
                  <w14:solidFill>
                    <w14:schemeClr w14:val="tx1"/>
                  </w14:solidFill>
                </w14:textFill>
              </w:rPr>
              <w:t>2</w:t>
            </w:r>
            <w:r>
              <w:rPr>
                <w:rFonts w:ascii="Times New Roman" w:hAnsi="Times New Roman"/>
                <w:color w:val="000000" w:themeColor="text1"/>
                <w:sz w:val="18"/>
                <w:szCs w:val="18"/>
                <w14:textFill>
                  <w14:solidFill>
                    <w14:schemeClr w14:val="tx1"/>
                  </w14:solidFill>
                </w14:textFill>
              </w:rPr>
              <w:t>O</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0.03%</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CaO</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0.01%</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Align w:val="center"/>
          </w:tcPr>
          <w:p>
            <w:pPr>
              <w:snapToGrid w:val="0"/>
              <w:spacing w:line="240" w:lineRule="auto"/>
              <w:jc w:val="center"/>
              <w:rPr>
                <w:rFonts w:ascii="Times New Roman" w:hAnsi="Times New Roman"/>
                <w:color w:val="000000" w:themeColor="text1"/>
                <w:sz w:val="18"/>
                <w:szCs w:val="18"/>
                <w:vertAlign w:val="subscript"/>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Fe</w:t>
            </w:r>
            <w:r>
              <w:rPr>
                <w:rFonts w:ascii="Times New Roman" w:hAnsi="Times New Roman"/>
                <w:color w:val="000000" w:themeColor="text1"/>
                <w:sz w:val="18"/>
                <w:szCs w:val="18"/>
                <w:vertAlign w:val="subscript"/>
                <w14:textFill>
                  <w14:solidFill>
                    <w14:schemeClr w14:val="tx1"/>
                  </w14:solidFill>
                </w14:textFill>
              </w:rPr>
              <w:t>2</w:t>
            </w:r>
            <w:r>
              <w:rPr>
                <w:rFonts w:ascii="Times New Roman" w:hAnsi="Times New Roman"/>
                <w:color w:val="000000" w:themeColor="text1"/>
                <w:sz w:val="18"/>
                <w:szCs w:val="18"/>
                <w14:textFill>
                  <w14:solidFill>
                    <w14:schemeClr w14:val="tx1"/>
                  </w14:solidFill>
                </w14:textFill>
              </w:rPr>
              <w:t>O</w:t>
            </w:r>
            <w:r>
              <w:rPr>
                <w:rFonts w:ascii="Times New Roman" w:hAnsi="Times New Roman"/>
                <w:color w:val="000000" w:themeColor="text1"/>
                <w:sz w:val="18"/>
                <w:szCs w:val="18"/>
                <w:vertAlign w:val="subscript"/>
                <w14:textFill>
                  <w14:solidFill>
                    <w14:schemeClr w14:val="tx1"/>
                  </w14:solidFill>
                </w14:textFill>
              </w:rPr>
              <w:t>3</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0.01%</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Ti</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200 mg/kg</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800 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Mn</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 mg/kg</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 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P</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 mg/kg</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 mg/kg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S</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 mg/kg</w:t>
            </w:r>
          </w:p>
        </w:tc>
        <w:tc>
          <w:tcPr>
            <w:tcW w:w="3112" w:type="dxa"/>
            <w:vAlign w:val="center"/>
          </w:tcPr>
          <w:p>
            <w:pPr>
              <w:snapToGrid w:val="0"/>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 mg/kg</w:t>
            </w:r>
          </w:p>
        </w:tc>
      </w:tr>
      <w:bookmarkEnd w:id="92"/>
    </w:tbl>
    <w:p>
      <w:pPr>
        <w:pStyle w:val="56"/>
        <w:ind w:firstLine="420"/>
        <w:sectPr>
          <w:pgSz w:w="11906" w:h="16838"/>
          <w:pgMar w:top="1928" w:right="1134" w:bottom="1134" w:left="1134" w:header="1418" w:footer="1134" w:gutter="284"/>
          <w:cols w:space="425" w:num="1"/>
          <w:formProt w:val="0"/>
          <w:docGrid w:linePitch="312" w:charSpace="0"/>
        </w:sectPr>
      </w:pPr>
    </w:p>
    <w:p>
      <w:pPr>
        <w:pStyle w:val="76"/>
        <w:spacing w:after="120"/>
      </w:pPr>
      <w:r>
        <w:br w:type="textWrapping"/>
      </w:r>
      <w:bookmarkStart w:id="93" w:name="_Toc124409549"/>
      <w:r>
        <w:rPr>
          <w:rFonts w:hint="eastAsia"/>
        </w:rPr>
        <w:t>（资料性）</w:t>
      </w:r>
      <w:r>
        <w:br w:type="textWrapping"/>
      </w:r>
      <w:r>
        <w:rPr>
          <w:rFonts w:hint="eastAsia"/>
        </w:rPr>
        <w:t>单波长激发-能量色散X射线荧光光谱仪仪器条件</w:t>
      </w:r>
      <w:bookmarkEnd w:id="93"/>
    </w:p>
    <w:p>
      <w:pPr>
        <w:pStyle w:val="77"/>
        <w:numPr>
          <w:ilvl w:val="0"/>
          <w:numId w:val="0"/>
        </w:numPr>
        <w:spacing w:before="120" w:after="120"/>
      </w:pPr>
      <w:r>
        <w:rPr>
          <w:rFonts w:hint="eastAsia" w:ascii="Times New Roman"/>
          <w:color w:val="000000" w:themeColor="text1"/>
          <w14:textFill>
            <w14:solidFill>
              <w14:schemeClr w14:val="tx1"/>
            </w14:solidFill>
          </w14:textFill>
        </w:rPr>
        <w:t>表B.</w:t>
      </w:r>
      <w:r>
        <w:rPr>
          <w:rFonts w:ascii="Times New Roman"/>
          <w:color w:val="000000" w:themeColor="text1"/>
          <w14:textFill>
            <w14:solidFill>
              <w14:schemeClr w14:val="tx1"/>
            </w14:solidFill>
          </w14:textFill>
        </w:rPr>
        <w:t>1</w:t>
      </w:r>
      <w:r>
        <w:rPr>
          <w:rFonts w:hint="eastAsia" w:ascii="Times New Roman"/>
          <w:color w:val="000000" w:themeColor="text1"/>
          <w14:textFill>
            <w14:solidFill>
              <w14:schemeClr w14:val="tx1"/>
            </w14:solidFill>
          </w14:textFill>
        </w:rPr>
        <w:t>单波长激发-能量色散X射线荧光光谱仪仪器条件示例</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32"/>
        <w:gridCol w:w="1333"/>
        <w:gridCol w:w="1333"/>
        <w:gridCol w:w="1334"/>
        <w:gridCol w:w="1746"/>
        <w:gridCol w:w="922"/>
        <w:gridCol w:w="13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332"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元素名称</w:t>
            </w:r>
          </w:p>
        </w:tc>
        <w:tc>
          <w:tcPr>
            <w:tcW w:w="2666" w:type="dxa"/>
            <w:gridSpan w:val="2"/>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X光管</w:t>
            </w:r>
          </w:p>
        </w:tc>
        <w:tc>
          <w:tcPr>
            <w:tcW w:w="1334"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双曲面弯晶类型</w:t>
            </w:r>
          </w:p>
        </w:tc>
        <w:tc>
          <w:tcPr>
            <w:tcW w:w="1746"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介质</w:t>
            </w:r>
          </w:p>
        </w:tc>
        <w:tc>
          <w:tcPr>
            <w:tcW w:w="922"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探测器</w:t>
            </w:r>
          </w:p>
        </w:tc>
        <w:tc>
          <w:tcPr>
            <w:tcW w:w="1334"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测量时间（s）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332" w:type="dxa"/>
            <w:vMerge w:val="continue"/>
            <w:tcBorders>
              <w:bottom w:val="single" w:color="auto" w:sz="8" w:space="0"/>
            </w:tcBorders>
            <w:shd w:val="clear" w:color="auto" w:fill="auto"/>
            <w:vAlign w:val="center"/>
          </w:tcPr>
          <w:p>
            <w:pPr>
              <w:pStyle w:val="178"/>
              <w:rPr>
                <w:rFonts w:ascii="Times New Roman"/>
                <w:szCs w:val="18"/>
              </w:rPr>
            </w:pPr>
          </w:p>
        </w:tc>
        <w:tc>
          <w:tcPr>
            <w:tcW w:w="1333"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电压（kV）</w:t>
            </w:r>
          </w:p>
        </w:tc>
        <w:tc>
          <w:tcPr>
            <w:tcW w:w="1333"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电流（μA）</w:t>
            </w:r>
          </w:p>
        </w:tc>
        <w:tc>
          <w:tcPr>
            <w:tcW w:w="1334" w:type="dxa"/>
            <w:vMerge w:val="continue"/>
            <w:tcBorders>
              <w:bottom w:val="single" w:color="auto" w:sz="8" w:space="0"/>
            </w:tcBorders>
            <w:shd w:val="clear" w:color="auto" w:fill="auto"/>
            <w:vAlign w:val="center"/>
          </w:tcPr>
          <w:p>
            <w:pPr>
              <w:pStyle w:val="178"/>
              <w:rPr>
                <w:rFonts w:ascii="Times New Roman"/>
                <w:szCs w:val="18"/>
              </w:rPr>
            </w:pPr>
          </w:p>
        </w:tc>
        <w:tc>
          <w:tcPr>
            <w:tcW w:w="1746" w:type="dxa"/>
            <w:vMerge w:val="continue"/>
            <w:tcBorders>
              <w:bottom w:val="single" w:color="auto" w:sz="8" w:space="0"/>
            </w:tcBorders>
            <w:shd w:val="clear" w:color="auto" w:fill="auto"/>
            <w:vAlign w:val="center"/>
          </w:tcPr>
          <w:p>
            <w:pPr>
              <w:pStyle w:val="178"/>
              <w:rPr>
                <w:rFonts w:ascii="Times New Roman"/>
                <w:szCs w:val="18"/>
              </w:rPr>
            </w:pPr>
          </w:p>
        </w:tc>
        <w:tc>
          <w:tcPr>
            <w:tcW w:w="922" w:type="dxa"/>
            <w:vMerge w:val="continue"/>
            <w:tcBorders>
              <w:bottom w:val="single" w:color="auto" w:sz="8" w:space="0"/>
            </w:tcBorders>
            <w:shd w:val="clear" w:color="auto" w:fill="auto"/>
            <w:vAlign w:val="center"/>
          </w:tcPr>
          <w:p>
            <w:pPr>
              <w:pStyle w:val="178"/>
              <w:rPr>
                <w:rFonts w:ascii="Times New Roman"/>
                <w:szCs w:val="18"/>
              </w:rPr>
            </w:pPr>
          </w:p>
        </w:tc>
        <w:tc>
          <w:tcPr>
            <w:tcW w:w="1334" w:type="dxa"/>
            <w:vMerge w:val="continue"/>
            <w:tcBorders>
              <w:bottom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tcBorders>
              <w:top w:val="single" w:color="auto" w:sz="8" w:space="0"/>
            </w:tcBorders>
            <w:shd w:val="clear" w:color="auto" w:fill="auto"/>
            <w:vAlign w:val="center"/>
          </w:tcPr>
          <w:p>
            <w:pPr>
              <w:pStyle w:val="178"/>
              <w:rPr>
                <w:rFonts w:ascii="Times New Roman"/>
                <w:szCs w:val="18"/>
              </w:rPr>
            </w:pPr>
            <w:r>
              <w:rPr>
                <w:rFonts w:ascii="Times New Roman"/>
                <w:szCs w:val="18"/>
              </w:rPr>
              <w:t>Si</w:t>
            </w:r>
          </w:p>
        </w:tc>
        <w:tc>
          <w:tcPr>
            <w:tcW w:w="1333" w:type="dxa"/>
            <w:tcBorders>
              <w:top w:val="single" w:color="auto" w:sz="8" w:space="0"/>
            </w:tcBorders>
            <w:shd w:val="clear" w:color="auto" w:fill="auto"/>
            <w:vAlign w:val="center"/>
          </w:tcPr>
          <w:p>
            <w:pPr>
              <w:pStyle w:val="178"/>
              <w:rPr>
                <w:rFonts w:ascii="Times New Roman"/>
                <w:szCs w:val="18"/>
              </w:rPr>
            </w:pPr>
            <w:r>
              <w:rPr>
                <w:rFonts w:ascii="Times New Roman"/>
                <w:szCs w:val="18"/>
              </w:rPr>
              <w:t>45</w:t>
            </w:r>
          </w:p>
        </w:tc>
        <w:tc>
          <w:tcPr>
            <w:tcW w:w="1333" w:type="dxa"/>
            <w:tcBorders>
              <w:top w:val="single" w:color="auto" w:sz="8" w:space="0"/>
            </w:tcBorders>
            <w:shd w:val="clear" w:color="auto" w:fill="auto"/>
            <w:vAlign w:val="center"/>
          </w:tcPr>
          <w:p>
            <w:pPr>
              <w:pStyle w:val="178"/>
              <w:rPr>
                <w:rFonts w:ascii="Times New Roman"/>
                <w:szCs w:val="18"/>
              </w:rPr>
            </w:pPr>
            <w:r>
              <w:rPr>
                <w:rFonts w:ascii="Times New Roman"/>
                <w:szCs w:val="18"/>
              </w:rPr>
              <w:t>1 000</w:t>
            </w:r>
          </w:p>
        </w:tc>
        <w:tc>
          <w:tcPr>
            <w:tcW w:w="1334" w:type="dxa"/>
            <w:tcBorders>
              <w:top w:val="single" w:color="auto" w:sz="8" w:space="0"/>
            </w:tcBorders>
            <w:shd w:val="clear" w:color="auto" w:fill="auto"/>
            <w:vAlign w:val="center"/>
          </w:tcPr>
          <w:p>
            <w:pPr>
              <w:pStyle w:val="178"/>
              <w:rPr>
                <w:rFonts w:ascii="Times New Roman"/>
                <w:szCs w:val="18"/>
              </w:rPr>
            </w:pPr>
            <w:r>
              <w:rPr>
                <w:rFonts w:ascii="Times New Roman"/>
                <w:szCs w:val="18"/>
              </w:rPr>
              <w:t>Ge(111)</w:t>
            </w:r>
          </w:p>
        </w:tc>
        <w:tc>
          <w:tcPr>
            <w:tcW w:w="1746" w:type="dxa"/>
            <w:tcBorders>
              <w:top w:val="single" w:color="auto" w:sz="8" w:space="0"/>
            </w:tcBorders>
            <w:shd w:val="clear" w:color="auto" w:fill="auto"/>
            <w:vAlign w:val="center"/>
          </w:tcPr>
          <w:p>
            <w:pPr>
              <w:pStyle w:val="178"/>
              <w:rPr>
                <w:rFonts w:ascii="Times New Roman"/>
                <w:szCs w:val="18"/>
              </w:rPr>
            </w:pPr>
            <w:r>
              <w:rPr>
                <w:rFonts w:ascii="Times New Roman"/>
                <w:szCs w:val="18"/>
              </w:rPr>
              <w:t>氢气、氦气或真空</w:t>
            </w:r>
          </w:p>
        </w:tc>
        <w:tc>
          <w:tcPr>
            <w:tcW w:w="922" w:type="dxa"/>
            <w:tcBorders>
              <w:top w:val="single" w:color="auto" w:sz="8" w:space="0"/>
            </w:tcBorders>
            <w:shd w:val="clear" w:color="auto" w:fill="auto"/>
            <w:vAlign w:val="center"/>
          </w:tcPr>
          <w:p>
            <w:pPr>
              <w:pStyle w:val="178"/>
              <w:rPr>
                <w:rFonts w:ascii="Times New Roman"/>
                <w:szCs w:val="18"/>
              </w:rPr>
            </w:pPr>
            <w:r>
              <w:rPr>
                <w:rFonts w:ascii="Times New Roman"/>
                <w:szCs w:val="18"/>
              </w:rPr>
              <w:t>SDD</w:t>
            </w:r>
          </w:p>
        </w:tc>
        <w:tc>
          <w:tcPr>
            <w:tcW w:w="1334" w:type="dxa"/>
            <w:tcBorders>
              <w:top w:val="single" w:color="auto" w:sz="8" w:space="0"/>
            </w:tcBorders>
            <w:shd w:val="clear" w:color="auto" w:fill="auto"/>
            <w:vAlign w:val="center"/>
          </w:tcPr>
          <w:p>
            <w:pPr>
              <w:pStyle w:val="178"/>
              <w:rPr>
                <w:rFonts w:ascii="Times New Roman"/>
                <w:szCs w:val="18"/>
              </w:rPr>
            </w:pPr>
            <w:r>
              <w:rPr>
                <w:rFonts w:ascii="Times New Roman"/>
                <w:szCs w:val="18"/>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pPr>
              <w:pStyle w:val="178"/>
              <w:rPr>
                <w:rFonts w:ascii="Times New Roman"/>
                <w:szCs w:val="18"/>
              </w:rPr>
            </w:pPr>
            <w:r>
              <w:rPr>
                <w:rFonts w:ascii="Times New Roman"/>
                <w:szCs w:val="18"/>
              </w:rPr>
              <w:t>Al</w:t>
            </w:r>
          </w:p>
        </w:tc>
        <w:tc>
          <w:tcPr>
            <w:tcW w:w="1333" w:type="dxa"/>
            <w:shd w:val="clear" w:color="auto" w:fill="auto"/>
            <w:vAlign w:val="center"/>
          </w:tcPr>
          <w:p>
            <w:pPr>
              <w:pStyle w:val="178"/>
              <w:rPr>
                <w:rFonts w:ascii="Times New Roman"/>
                <w:szCs w:val="18"/>
              </w:rPr>
            </w:pPr>
            <w:r>
              <w:rPr>
                <w:rFonts w:ascii="Times New Roman"/>
                <w:szCs w:val="18"/>
              </w:rPr>
              <w:t>45</w:t>
            </w:r>
          </w:p>
        </w:tc>
        <w:tc>
          <w:tcPr>
            <w:tcW w:w="1333" w:type="dxa"/>
            <w:shd w:val="clear" w:color="auto" w:fill="auto"/>
            <w:vAlign w:val="center"/>
          </w:tcPr>
          <w:p>
            <w:pPr>
              <w:pStyle w:val="178"/>
              <w:rPr>
                <w:rFonts w:ascii="Times New Roman"/>
                <w:szCs w:val="18"/>
              </w:rPr>
            </w:pPr>
            <w:r>
              <w:rPr>
                <w:rFonts w:ascii="Times New Roman"/>
                <w:szCs w:val="18"/>
              </w:rPr>
              <w:t>1 000</w:t>
            </w:r>
          </w:p>
        </w:tc>
        <w:tc>
          <w:tcPr>
            <w:tcW w:w="1334" w:type="dxa"/>
            <w:shd w:val="clear" w:color="auto" w:fill="auto"/>
            <w:vAlign w:val="center"/>
          </w:tcPr>
          <w:p>
            <w:pPr>
              <w:pStyle w:val="178"/>
              <w:rPr>
                <w:rFonts w:ascii="Times New Roman"/>
                <w:szCs w:val="18"/>
              </w:rPr>
            </w:pPr>
            <w:r>
              <w:rPr>
                <w:rFonts w:ascii="Times New Roman"/>
                <w:szCs w:val="18"/>
              </w:rPr>
              <w:t>Ge(111)</w:t>
            </w:r>
          </w:p>
        </w:tc>
        <w:tc>
          <w:tcPr>
            <w:tcW w:w="1746" w:type="dxa"/>
            <w:shd w:val="clear" w:color="auto" w:fill="auto"/>
            <w:vAlign w:val="center"/>
          </w:tcPr>
          <w:p>
            <w:pPr>
              <w:pStyle w:val="178"/>
              <w:rPr>
                <w:rFonts w:ascii="Times New Roman"/>
                <w:szCs w:val="18"/>
              </w:rPr>
            </w:pPr>
            <w:r>
              <w:rPr>
                <w:rFonts w:ascii="Times New Roman"/>
                <w:szCs w:val="18"/>
              </w:rPr>
              <w:t>氢气、氦气或真空</w:t>
            </w:r>
          </w:p>
        </w:tc>
        <w:tc>
          <w:tcPr>
            <w:tcW w:w="922" w:type="dxa"/>
            <w:shd w:val="clear" w:color="auto" w:fill="auto"/>
            <w:vAlign w:val="center"/>
          </w:tcPr>
          <w:p>
            <w:pPr>
              <w:pStyle w:val="178"/>
              <w:rPr>
                <w:rFonts w:ascii="Times New Roman"/>
                <w:szCs w:val="18"/>
              </w:rPr>
            </w:pPr>
            <w:r>
              <w:rPr>
                <w:rFonts w:ascii="Times New Roman"/>
                <w:szCs w:val="18"/>
              </w:rPr>
              <w:t>SDD</w:t>
            </w:r>
          </w:p>
        </w:tc>
        <w:tc>
          <w:tcPr>
            <w:tcW w:w="1334" w:type="dxa"/>
            <w:shd w:val="clear" w:color="auto" w:fill="auto"/>
            <w:vAlign w:val="center"/>
          </w:tcPr>
          <w:p>
            <w:pPr>
              <w:pStyle w:val="178"/>
              <w:rPr>
                <w:rFonts w:ascii="Times New Roman"/>
                <w:szCs w:val="18"/>
              </w:rPr>
            </w:pPr>
            <w:r>
              <w:rPr>
                <w:rFonts w:ascii="Times New Roman"/>
                <w:szCs w:val="18"/>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pPr>
              <w:pStyle w:val="178"/>
              <w:rPr>
                <w:rFonts w:ascii="Times New Roman"/>
                <w:szCs w:val="18"/>
              </w:rPr>
            </w:pPr>
            <w:r>
              <w:rPr>
                <w:rFonts w:ascii="Times New Roman"/>
                <w:szCs w:val="18"/>
              </w:rPr>
              <w:t>Fe</w:t>
            </w:r>
          </w:p>
        </w:tc>
        <w:tc>
          <w:tcPr>
            <w:tcW w:w="1333" w:type="dxa"/>
            <w:shd w:val="clear" w:color="auto" w:fill="auto"/>
            <w:vAlign w:val="center"/>
          </w:tcPr>
          <w:p>
            <w:pPr>
              <w:pStyle w:val="178"/>
              <w:rPr>
                <w:rFonts w:ascii="Times New Roman"/>
                <w:szCs w:val="18"/>
              </w:rPr>
            </w:pPr>
            <w:r>
              <w:rPr>
                <w:rFonts w:ascii="Times New Roman"/>
                <w:szCs w:val="18"/>
              </w:rPr>
              <w:t>45</w:t>
            </w:r>
          </w:p>
        </w:tc>
        <w:tc>
          <w:tcPr>
            <w:tcW w:w="1333" w:type="dxa"/>
            <w:shd w:val="clear" w:color="auto" w:fill="auto"/>
            <w:vAlign w:val="center"/>
          </w:tcPr>
          <w:p>
            <w:pPr>
              <w:pStyle w:val="178"/>
              <w:rPr>
                <w:rFonts w:ascii="Times New Roman"/>
                <w:szCs w:val="18"/>
              </w:rPr>
            </w:pPr>
            <w:r>
              <w:rPr>
                <w:rFonts w:ascii="Times New Roman"/>
                <w:szCs w:val="18"/>
              </w:rPr>
              <w:t>1 000</w:t>
            </w:r>
          </w:p>
        </w:tc>
        <w:tc>
          <w:tcPr>
            <w:tcW w:w="1334" w:type="dxa"/>
            <w:shd w:val="clear" w:color="auto" w:fill="auto"/>
            <w:vAlign w:val="center"/>
          </w:tcPr>
          <w:p>
            <w:pPr>
              <w:pStyle w:val="178"/>
              <w:rPr>
                <w:rFonts w:ascii="Times New Roman"/>
                <w:szCs w:val="18"/>
              </w:rPr>
            </w:pPr>
            <w:r>
              <w:rPr>
                <w:rFonts w:ascii="Times New Roman"/>
                <w:szCs w:val="18"/>
              </w:rPr>
              <w:t>LiF(200)</w:t>
            </w:r>
          </w:p>
        </w:tc>
        <w:tc>
          <w:tcPr>
            <w:tcW w:w="1746" w:type="dxa"/>
            <w:shd w:val="clear" w:color="auto" w:fill="auto"/>
            <w:vAlign w:val="center"/>
          </w:tcPr>
          <w:p>
            <w:pPr>
              <w:pStyle w:val="178"/>
              <w:rPr>
                <w:rFonts w:ascii="Times New Roman"/>
                <w:szCs w:val="18"/>
              </w:rPr>
            </w:pPr>
            <w:r>
              <w:rPr>
                <w:rFonts w:ascii="Times New Roman"/>
                <w:szCs w:val="18"/>
              </w:rPr>
              <w:t>氢气、氦气或真空</w:t>
            </w:r>
          </w:p>
        </w:tc>
        <w:tc>
          <w:tcPr>
            <w:tcW w:w="922" w:type="dxa"/>
            <w:shd w:val="clear" w:color="auto" w:fill="auto"/>
            <w:vAlign w:val="center"/>
          </w:tcPr>
          <w:p>
            <w:pPr>
              <w:pStyle w:val="178"/>
              <w:rPr>
                <w:rFonts w:ascii="Times New Roman"/>
                <w:szCs w:val="18"/>
              </w:rPr>
            </w:pPr>
            <w:r>
              <w:rPr>
                <w:rFonts w:ascii="Times New Roman"/>
                <w:szCs w:val="18"/>
              </w:rPr>
              <w:t>SDD</w:t>
            </w:r>
          </w:p>
        </w:tc>
        <w:tc>
          <w:tcPr>
            <w:tcW w:w="1334" w:type="dxa"/>
            <w:shd w:val="clear" w:color="auto" w:fill="auto"/>
            <w:vAlign w:val="center"/>
          </w:tcPr>
          <w:p>
            <w:pPr>
              <w:pStyle w:val="178"/>
              <w:rPr>
                <w:rFonts w:ascii="Times New Roman"/>
                <w:szCs w:val="18"/>
              </w:rPr>
            </w:pPr>
            <w:r>
              <w:rPr>
                <w:rFonts w:ascii="Times New Roman"/>
                <w:szCs w:val="18"/>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pPr>
              <w:pStyle w:val="178"/>
              <w:rPr>
                <w:rFonts w:ascii="Times New Roman"/>
                <w:szCs w:val="18"/>
              </w:rPr>
            </w:pPr>
            <w:r>
              <w:rPr>
                <w:rFonts w:ascii="Times New Roman"/>
                <w:szCs w:val="18"/>
              </w:rPr>
              <w:t>K</w:t>
            </w:r>
          </w:p>
        </w:tc>
        <w:tc>
          <w:tcPr>
            <w:tcW w:w="1333" w:type="dxa"/>
            <w:shd w:val="clear" w:color="auto" w:fill="auto"/>
            <w:vAlign w:val="center"/>
          </w:tcPr>
          <w:p>
            <w:pPr>
              <w:pStyle w:val="178"/>
              <w:rPr>
                <w:rFonts w:ascii="Times New Roman"/>
                <w:szCs w:val="18"/>
              </w:rPr>
            </w:pPr>
            <w:r>
              <w:rPr>
                <w:rFonts w:ascii="Times New Roman"/>
                <w:szCs w:val="18"/>
              </w:rPr>
              <w:t>45</w:t>
            </w:r>
          </w:p>
        </w:tc>
        <w:tc>
          <w:tcPr>
            <w:tcW w:w="1333" w:type="dxa"/>
            <w:shd w:val="clear" w:color="auto" w:fill="auto"/>
            <w:vAlign w:val="center"/>
          </w:tcPr>
          <w:p>
            <w:pPr>
              <w:pStyle w:val="178"/>
              <w:rPr>
                <w:rFonts w:ascii="Times New Roman"/>
                <w:szCs w:val="18"/>
              </w:rPr>
            </w:pPr>
            <w:r>
              <w:rPr>
                <w:rFonts w:ascii="Times New Roman"/>
                <w:szCs w:val="18"/>
              </w:rPr>
              <w:t>1 000</w:t>
            </w:r>
          </w:p>
        </w:tc>
        <w:tc>
          <w:tcPr>
            <w:tcW w:w="1334" w:type="dxa"/>
            <w:shd w:val="clear" w:color="auto" w:fill="auto"/>
            <w:vAlign w:val="center"/>
          </w:tcPr>
          <w:p>
            <w:pPr>
              <w:pStyle w:val="178"/>
              <w:rPr>
                <w:rFonts w:ascii="Times New Roman"/>
                <w:szCs w:val="18"/>
              </w:rPr>
            </w:pPr>
            <w:r>
              <w:rPr>
                <w:rFonts w:ascii="Times New Roman"/>
                <w:szCs w:val="18"/>
              </w:rPr>
              <w:t>LiF(200)</w:t>
            </w:r>
          </w:p>
        </w:tc>
        <w:tc>
          <w:tcPr>
            <w:tcW w:w="1746" w:type="dxa"/>
            <w:shd w:val="clear" w:color="auto" w:fill="auto"/>
            <w:vAlign w:val="center"/>
          </w:tcPr>
          <w:p>
            <w:pPr>
              <w:pStyle w:val="178"/>
              <w:rPr>
                <w:rFonts w:ascii="Times New Roman"/>
                <w:szCs w:val="18"/>
              </w:rPr>
            </w:pPr>
            <w:r>
              <w:rPr>
                <w:rFonts w:ascii="Times New Roman"/>
                <w:szCs w:val="18"/>
              </w:rPr>
              <w:t>氢气、氦气或真空</w:t>
            </w:r>
          </w:p>
        </w:tc>
        <w:tc>
          <w:tcPr>
            <w:tcW w:w="922" w:type="dxa"/>
            <w:shd w:val="clear" w:color="auto" w:fill="auto"/>
            <w:vAlign w:val="center"/>
          </w:tcPr>
          <w:p>
            <w:pPr>
              <w:pStyle w:val="178"/>
              <w:rPr>
                <w:rFonts w:ascii="Times New Roman"/>
                <w:szCs w:val="18"/>
              </w:rPr>
            </w:pPr>
            <w:r>
              <w:rPr>
                <w:rFonts w:ascii="Times New Roman"/>
                <w:szCs w:val="18"/>
              </w:rPr>
              <w:t>SDD</w:t>
            </w:r>
          </w:p>
        </w:tc>
        <w:tc>
          <w:tcPr>
            <w:tcW w:w="1334" w:type="dxa"/>
            <w:shd w:val="clear" w:color="auto" w:fill="auto"/>
            <w:vAlign w:val="center"/>
          </w:tcPr>
          <w:p>
            <w:pPr>
              <w:pStyle w:val="178"/>
              <w:rPr>
                <w:rFonts w:ascii="Times New Roman"/>
                <w:szCs w:val="18"/>
              </w:rPr>
            </w:pPr>
            <w:r>
              <w:rPr>
                <w:rFonts w:ascii="Times New Roman"/>
                <w:szCs w:val="18"/>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pPr>
              <w:pStyle w:val="178"/>
              <w:rPr>
                <w:rFonts w:ascii="Times New Roman"/>
                <w:szCs w:val="18"/>
              </w:rPr>
            </w:pPr>
            <w:r>
              <w:rPr>
                <w:rFonts w:ascii="Times New Roman"/>
                <w:szCs w:val="18"/>
              </w:rPr>
              <w:t>Na</w:t>
            </w:r>
          </w:p>
        </w:tc>
        <w:tc>
          <w:tcPr>
            <w:tcW w:w="1333" w:type="dxa"/>
            <w:shd w:val="clear" w:color="auto" w:fill="auto"/>
            <w:vAlign w:val="center"/>
          </w:tcPr>
          <w:p>
            <w:pPr>
              <w:pStyle w:val="178"/>
              <w:rPr>
                <w:rFonts w:ascii="Times New Roman"/>
                <w:szCs w:val="18"/>
              </w:rPr>
            </w:pPr>
            <w:r>
              <w:rPr>
                <w:rFonts w:ascii="Times New Roman"/>
                <w:szCs w:val="18"/>
              </w:rPr>
              <w:t>45</w:t>
            </w:r>
          </w:p>
        </w:tc>
        <w:tc>
          <w:tcPr>
            <w:tcW w:w="1333" w:type="dxa"/>
            <w:shd w:val="clear" w:color="auto" w:fill="auto"/>
            <w:vAlign w:val="center"/>
          </w:tcPr>
          <w:p>
            <w:pPr>
              <w:pStyle w:val="178"/>
              <w:rPr>
                <w:rFonts w:ascii="Times New Roman"/>
                <w:szCs w:val="18"/>
              </w:rPr>
            </w:pPr>
            <w:r>
              <w:rPr>
                <w:rFonts w:ascii="Times New Roman"/>
                <w:szCs w:val="18"/>
              </w:rPr>
              <w:t>1 000</w:t>
            </w:r>
          </w:p>
        </w:tc>
        <w:tc>
          <w:tcPr>
            <w:tcW w:w="1334" w:type="dxa"/>
            <w:shd w:val="clear" w:color="auto" w:fill="auto"/>
            <w:vAlign w:val="center"/>
          </w:tcPr>
          <w:p>
            <w:pPr>
              <w:pStyle w:val="178"/>
              <w:rPr>
                <w:rFonts w:ascii="Times New Roman"/>
                <w:szCs w:val="18"/>
              </w:rPr>
            </w:pPr>
            <w:r>
              <w:rPr>
                <w:rFonts w:ascii="Times New Roman"/>
                <w:szCs w:val="18"/>
              </w:rPr>
              <w:t>Ge(111)</w:t>
            </w:r>
          </w:p>
        </w:tc>
        <w:tc>
          <w:tcPr>
            <w:tcW w:w="1746" w:type="dxa"/>
            <w:shd w:val="clear" w:color="auto" w:fill="auto"/>
            <w:vAlign w:val="center"/>
          </w:tcPr>
          <w:p>
            <w:pPr>
              <w:pStyle w:val="178"/>
              <w:rPr>
                <w:rFonts w:ascii="Times New Roman"/>
                <w:szCs w:val="18"/>
              </w:rPr>
            </w:pPr>
            <w:r>
              <w:rPr>
                <w:rFonts w:ascii="Times New Roman"/>
                <w:szCs w:val="18"/>
              </w:rPr>
              <w:t>氢气、氦气或真空</w:t>
            </w:r>
          </w:p>
        </w:tc>
        <w:tc>
          <w:tcPr>
            <w:tcW w:w="922" w:type="dxa"/>
            <w:shd w:val="clear" w:color="auto" w:fill="auto"/>
            <w:vAlign w:val="center"/>
          </w:tcPr>
          <w:p>
            <w:pPr>
              <w:pStyle w:val="178"/>
              <w:rPr>
                <w:rFonts w:ascii="Times New Roman"/>
                <w:szCs w:val="18"/>
              </w:rPr>
            </w:pPr>
            <w:r>
              <w:rPr>
                <w:rFonts w:ascii="Times New Roman"/>
                <w:szCs w:val="18"/>
              </w:rPr>
              <w:t>SDD</w:t>
            </w:r>
          </w:p>
        </w:tc>
        <w:tc>
          <w:tcPr>
            <w:tcW w:w="1334" w:type="dxa"/>
            <w:shd w:val="clear" w:color="auto" w:fill="auto"/>
            <w:vAlign w:val="center"/>
          </w:tcPr>
          <w:p>
            <w:pPr>
              <w:pStyle w:val="178"/>
              <w:rPr>
                <w:rFonts w:ascii="Times New Roman"/>
                <w:szCs w:val="18"/>
              </w:rPr>
            </w:pPr>
            <w:r>
              <w:rPr>
                <w:rFonts w:ascii="Times New Roman"/>
                <w:szCs w:val="18"/>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pPr>
              <w:pStyle w:val="178"/>
              <w:rPr>
                <w:rFonts w:ascii="Times New Roman"/>
                <w:szCs w:val="18"/>
              </w:rPr>
            </w:pPr>
            <w:r>
              <w:rPr>
                <w:rFonts w:ascii="Times New Roman"/>
                <w:szCs w:val="18"/>
              </w:rPr>
              <w:t>Ca</w:t>
            </w:r>
          </w:p>
        </w:tc>
        <w:tc>
          <w:tcPr>
            <w:tcW w:w="1333" w:type="dxa"/>
            <w:shd w:val="clear" w:color="auto" w:fill="auto"/>
            <w:vAlign w:val="center"/>
          </w:tcPr>
          <w:p>
            <w:pPr>
              <w:pStyle w:val="178"/>
              <w:rPr>
                <w:rFonts w:ascii="Times New Roman"/>
                <w:szCs w:val="18"/>
              </w:rPr>
            </w:pPr>
            <w:r>
              <w:rPr>
                <w:rFonts w:ascii="Times New Roman"/>
                <w:szCs w:val="18"/>
              </w:rPr>
              <w:t>45</w:t>
            </w:r>
          </w:p>
        </w:tc>
        <w:tc>
          <w:tcPr>
            <w:tcW w:w="1333" w:type="dxa"/>
            <w:shd w:val="clear" w:color="auto" w:fill="auto"/>
            <w:vAlign w:val="center"/>
          </w:tcPr>
          <w:p>
            <w:pPr>
              <w:pStyle w:val="178"/>
              <w:rPr>
                <w:rFonts w:ascii="Times New Roman"/>
                <w:szCs w:val="18"/>
              </w:rPr>
            </w:pPr>
            <w:r>
              <w:rPr>
                <w:rFonts w:ascii="Times New Roman"/>
                <w:szCs w:val="18"/>
              </w:rPr>
              <w:t>1 000</w:t>
            </w:r>
          </w:p>
        </w:tc>
        <w:tc>
          <w:tcPr>
            <w:tcW w:w="1334" w:type="dxa"/>
            <w:shd w:val="clear" w:color="auto" w:fill="auto"/>
            <w:vAlign w:val="center"/>
          </w:tcPr>
          <w:p>
            <w:pPr>
              <w:pStyle w:val="178"/>
              <w:rPr>
                <w:rFonts w:ascii="Times New Roman"/>
                <w:szCs w:val="18"/>
              </w:rPr>
            </w:pPr>
            <w:r>
              <w:rPr>
                <w:rFonts w:ascii="Times New Roman"/>
                <w:szCs w:val="18"/>
              </w:rPr>
              <w:t>LiF(200)</w:t>
            </w:r>
          </w:p>
        </w:tc>
        <w:tc>
          <w:tcPr>
            <w:tcW w:w="1746" w:type="dxa"/>
            <w:shd w:val="clear" w:color="auto" w:fill="auto"/>
            <w:vAlign w:val="center"/>
          </w:tcPr>
          <w:p>
            <w:pPr>
              <w:pStyle w:val="178"/>
              <w:rPr>
                <w:rFonts w:ascii="Times New Roman"/>
                <w:szCs w:val="18"/>
              </w:rPr>
            </w:pPr>
            <w:r>
              <w:rPr>
                <w:rFonts w:ascii="Times New Roman"/>
                <w:szCs w:val="18"/>
              </w:rPr>
              <w:t>氢气、氦气或真空</w:t>
            </w:r>
          </w:p>
        </w:tc>
        <w:tc>
          <w:tcPr>
            <w:tcW w:w="922" w:type="dxa"/>
            <w:shd w:val="clear" w:color="auto" w:fill="auto"/>
            <w:vAlign w:val="center"/>
          </w:tcPr>
          <w:p>
            <w:pPr>
              <w:pStyle w:val="178"/>
              <w:rPr>
                <w:rFonts w:ascii="Times New Roman"/>
                <w:szCs w:val="18"/>
              </w:rPr>
            </w:pPr>
            <w:r>
              <w:rPr>
                <w:rFonts w:ascii="Times New Roman"/>
                <w:szCs w:val="18"/>
              </w:rPr>
              <w:t>SDD</w:t>
            </w:r>
          </w:p>
        </w:tc>
        <w:tc>
          <w:tcPr>
            <w:tcW w:w="1334" w:type="dxa"/>
            <w:shd w:val="clear" w:color="auto" w:fill="auto"/>
            <w:vAlign w:val="center"/>
          </w:tcPr>
          <w:p>
            <w:pPr>
              <w:pStyle w:val="178"/>
              <w:rPr>
                <w:rFonts w:ascii="Times New Roman"/>
                <w:szCs w:val="18"/>
              </w:rPr>
            </w:pPr>
            <w:r>
              <w:rPr>
                <w:rFonts w:ascii="Times New Roman"/>
                <w:szCs w:val="18"/>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pPr>
              <w:pStyle w:val="178"/>
              <w:rPr>
                <w:rFonts w:ascii="Times New Roman"/>
                <w:szCs w:val="18"/>
              </w:rPr>
            </w:pPr>
            <w:r>
              <w:rPr>
                <w:rFonts w:ascii="Times New Roman"/>
                <w:szCs w:val="18"/>
              </w:rPr>
              <w:t>Mg</w:t>
            </w:r>
          </w:p>
        </w:tc>
        <w:tc>
          <w:tcPr>
            <w:tcW w:w="1333" w:type="dxa"/>
            <w:shd w:val="clear" w:color="auto" w:fill="auto"/>
            <w:vAlign w:val="center"/>
          </w:tcPr>
          <w:p>
            <w:pPr>
              <w:pStyle w:val="178"/>
              <w:rPr>
                <w:rFonts w:ascii="Times New Roman"/>
                <w:szCs w:val="18"/>
              </w:rPr>
            </w:pPr>
            <w:r>
              <w:rPr>
                <w:rFonts w:ascii="Times New Roman"/>
                <w:szCs w:val="18"/>
              </w:rPr>
              <w:t>45</w:t>
            </w:r>
          </w:p>
        </w:tc>
        <w:tc>
          <w:tcPr>
            <w:tcW w:w="1333" w:type="dxa"/>
            <w:shd w:val="clear" w:color="auto" w:fill="auto"/>
            <w:vAlign w:val="center"/>
          </w:tcPr>
          <w:p>
            <w:pPr>
              <w:pStyle w:val="178"/>
              <w:rPr>
                <w:rFonts w:ascii="Times New Roman"/>
                <w:szCs w:val="18"/>
              </w:rPr>
            </w:pPr>
            <w:r>
              <w:rPr>
                <w:rFonts w:ascii="Times New Roman"/>
                <w:szCs w:val="18"/>
              </w:rPr>
              <w:t>1 000</w:t>
            </w:r>
          </w:p>
        </w:tc>
        <w:tc>
          <w:tcPr>
            <w:tcW w:w="1334" w:type="dxa"/>
            <w:shd w:val="clear" w:color="auto" w:fill="auto"/>
            <w:vAlign w:val="center"/>
          </w:tcPr>
          <w:p>
            <w:pPr>
              <w:pStyle w:val="178"/>
              <w:rPr>
                <w:rFonts w:ascii="Times New Roman"/>
                <w:szCs w:val="18"/>
              </w:rPr>
            </w:pPr>
            <w:r>
              <w:rPr>
                <w:rFonts w:ascii="Times New Roman"/>
                <w:szCs w:val="18"/>
              </w:rPr>
              <w:t>Ge(111)</w:t>
            </w:r>
          </w:p>
        </w:tc>
        <w:tc>
          <w:tcPr>
            <w:tcW w:w="1746" w:type="dxa"/>
            <w:shd w:val="clear" w:color="auto" w:fill="auto"/>
            <w:vAlign w:val="center"/>
          </w:tcPr>
          <w:p>
            <w:pPr>
              <w:pStyle w:val="178"/>
              <w:rPr>
                <w:rFonts w:ascii="Times New Roman"/>
                <w:szCs w:val="18"/>
              </w:rPr>
            </w:pPr>
            <w:r>
              <w:rPr>
                <w:rFonts w:ascii="Times New Roman"/>
                <w:szCs w:val="18"/>
              </w:rPr>
              <w:t>氢气、氦气或真空</w:t>
            </w:r>
          </w:p>
        </w:tc>
        <w:tc>
          <w:tcPr>
            <w:tcW w:w="922" w:type="dxa"/>
            <w:shd w:val="clear" w:color="auto" w:fill="auto"/>
            <w:vAlign w:val="center"/>
          </w:tcPr>
          <w:p>
            <w:pPr>
              <w:pStyle w:val="178"/>
              <w:rPr>
                <w:rFonts w:ascii="Times New Roman"/>
                <w:szCs w:val="18"/>
              </w:rPr>
            </w:pPr>
            <w:r>
              <w:rPr>
                <w:rFonts w:ascii="Times New Roman"/>
                <w:szCs w:val="18"/>
              </w:rPr>
              <w:t>SDD</w:t>
            </w:r>
          </w:p>
        </w:tc>
        <w:tc>
          <w:tcPr>
            <w:tcW w:w="1334" w:type="dxa"/>
            <w:shd w:val="clear" w:color="auto" w:fill="auto"/>
            <w:vAlign w:val="center"/>
          </w:tcPr>
          <w:p>
            <w:pPr>
              <w:pStyle w:val="178"/>
              <w:rPr>
                <w:rFonts w:ascii="Times New Roman"/>
                <w:szCs w:val="18"/>
              </w:rPr>
            </w:pPr>
            <w:r>
              <w:rPr>
                <w:rFonts w:ascii="Times New Roman"/>
                <w:szCs w:val="18"/>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pPr>
              <w:pStyle w:val="178"/>
              <w:rPr>
                <w:rFonts w:ascii="Times New Roman"/>
                <w:szCs w:val="18"/>
              </w:rPr>
            </w:pPr>
            <w:r>
              <w:rPr>
                <w:rFonts w:ascii="Times New Roman"/>
                <w:szCs w:val="18"/>
              </w:rPr>
              <w:t>Mn</w:t>
            </w:r>
          </w:p>
        </w:tc>
        <w:tc>
          <w:tcPr>
            <w:tcW w:w="1333" w:type="dxa"/>
            <w:shd w:val="clear" w:color="auto" w:fill="auto"/>
            <w:vAlign w:val="center"/>
          </w:tcPr>
          <w:p>
            <w:pPr>
              <w:pStyle w:val="178"/>
              <w:rPr>
                <w:rFonts w:ascii="Times New Roman"/>
                <w:szCs w:val="18"/>
              </w:rPr>
            </w:pPr>
            <w:r>
              <w:rPr>
                <w:rFonts w:ascii="Times New Roman"/>
                <w:szCs w:val="18"/>
              </w:rPr>
              <w:t>45</w:t>
            </w:r>
          </w:p>
        </w:tc>
        <w:tc>
          <w:tcPr>
            <w:tcW w:w="1333" w:type="dxa"/>
            <w:shd w:val="clear" w:color="auto" w:fill="auto"/>
            <w:vAlign w:val="center"/>
          </w:tcPr>
          <w:p>
            <w:pPr>
              <w:pStyle w:val="178"/>
              <w:rPr>
                <w:rFonts w:ascii="Times New Roman"/>
                <w:szCs w:val="18"/>
              </w:rPr>
            </w:pPr>
            <w:r>
              <w:rPr>
                <w:rFonts w:ascii="Times New Roman"/>
                <w:szCs w:val="18"/>
              </w:rPr>
              <w:t>1 000</w:t>
            </w:r>
          </w:p>
        </w:tc>
        <w:tc>
          <w:tcPr>
            <w:tcW w:w="1334" w:type="dxa"/>
            <w:shd w:val="clear" w:color="auto" w:fill="auto"/>
            <w:vAlign w:val="center"/>
          </w:tcPr>
          <w:p>
            <w:pPr>
              <w:pStyle w:val="178"/>
              <w:rPr>
                <w:rFonts w:ascii="Times New Roman"/>
                <w:szCs w:val="18"/>
              </w:rPr>
            </w:pPr>
            <w:r>
              <w:rPr>
                <w:rFonts w:ascii="Times New Roman"/>
                <w:szCs w:val="18"/>
              </w:rPr>
              <w:t>LiF(200)</w:t>
            </w:r>
          </w:p>
        </w:tc>
        <w:tc>
          <w:tcPr>
            <w:tcW w:w="1746" w:type="dxa"/>
            <w:shd w:val="clear" w:color="auto" w:fill="auto"/>
            <w:vAlign w:val="center"/>
          </w:tcPr>
          <w:p>
            <w:pPr>
              <w:pStyle w:val="178"/>
              <w:rPr>
                <w:rFonts w:ascii="Times New Roman"/>
                <w:szCs w:val="18"/>
              </w:rPr>
            </w:pPr>
            <w:r>
              <w:rPr>
                <w:rFonts w:ascii="Times New Roman"/>
                <w:szCs w:val="18"/>
              </w:rPr>
              <w:t>氢气、氦气或真空</w:t>
            </w:r>
          </w:p>
        </w:tc>
        <w:tc>
          <w:tcPr>
            <w:tcW w:w="922" w:type="dxa"/>
            <w:shd w:val="clear" w:color="auto" w:fill="auto"/>
            <w:vAlign w:val="center"/>
          </w:tcPr>
          <w:p>
            <w:pPr>
              <w:pStyle w:val="178"/>
              <w:rPr>
                <w:rFonts w:ascii="Times New Roman"/>
                <w:szCs w:val="18"/>
              </w:rPr>
            </w:pPr>
            <w:r>
              <w:rPr>
                <w:rFonts w:ascii="Times New Roman"/>
                <w:szCs w:val="18"/>
              </w:rPr>
              <w:t>SDD</w:t>
            </w:r>
          </w:p>
        </w:tc>
        <w:tc>
          <w:tcPr>
            <w:tcW w:w="1334" w:type="dxa"/>
            <w:shd w:val="clear" w:color="auto" w:fill="auto"/>
            <w:vAlign w:val="center"/>
          </w:tcPr>
          <w:p>
            <w:pPr>
              <w:pStyle w:val="178"/>
              <w:rPr>
                <w:rFonts w:ascii="Times New Roman"/>
                <w:szCs w:val="18"/>
              </w:rPr>
            </w:pPr>
            <w:r>
              <w:rPr>
                <w:rFonts w:ascii="Times New Roman"/>
                <w:szCs w:val="18"/>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332" w:type="dxa"/>
            <w:shd w:val="clear" w:color="auto" w:fill="auto"/>
            <w:vAlign w:val="center"/>
          </w:tcPr>
          <w:p>
            <w:pPr>
              <w:pStyle w:val="178"/>
              <w:rPr>
                <w:rFonts w:ascii="Times New Roman"/>
                <w:szCs w:val="18"/>
              </w:rPr>
            </w:pPr>
            <w:r>
              <w:rPr>
                <w:rFonts w:ascii="Times New Roman"/>
                <w:szCs w:val="18"/>
              </w:rPr>
              <w:t>P</w:t>
            </w:r>
          </w:p>
        </w:tc>
        <w:tc>
          <w:tcPr>
            <w:tcW w:w="1333" w:type="dxa"/>
            <w:shd w:val="clear" w:color="auto" w:fill="auto"/>
            <w:vAlign w:val="center"/>
          </w:tcPr>
          <w:p>
            <w:pPr>
              <w:pStyle w:val="178"/>
              <w:rPr>
                <w:rFonts w:ascii="Times New Roman"/>
                <w:szCs w:val="18"/>
              </w:rPr>
            </w:pPr>
            <w:r>
              <w:rPr>
                <w:rFonts w:ascii="Times New Roman"/>
                <w:szCs w:val="18"/>
              </w:rPr>
              <w:t>45</w:t>
            </w:r>
          </w:p>
        </w:tc>
        <w:tc>
          <w:tcPr>
            <w:tcW w:w="1333" w:type="dxa"/>
            <w:shd w:val="clear" w:color="auto" w:fill="auto"/>
            <w:vAlign w:val="center"/>
          </w:tcPr>
          <w:p>
            <w:pPr>
              <w:pStyle w:val="178"/>
              <w:rPr>
                <w:rFonts w:ascii="Times New Roman"/>
                <w:szCs w:val="18"/>
              </w:rPr>
            </w:pPr>
            <w:r>
              <w:rPr>
                <w:rFonts w:ascii="Times New Roman"/>
                <w:szCs w:val="18"/>
              </w:rPr>
              <w:t>1 000</w:t>
            </w:r>
          </w:p>
        </w:tc>
        <w:tc>
          <w:tcPr>
            <w:tcW w:w="1334" w:type="dxa"/>
            <w:shd w:val="clear" w:color="auto" w:fill="auto"/>
            <w:vAlign w:val="center"/>
          </w:tcPr>
          <w:p>
            <w:pPr>
              <w:pStyle w:val="178"/>
              <w:rPr>
                <w:rFonts w:ascii="Times New Roman"/>
                <w:szCs w:val="18"/>
              </w:rPr>
            </w:pPr>
            <w:r>
              <w:rPr>
                <w:rFonts w:ascii="Times New Roman"/>
                <w:szCs w:val="18"/>
              </w:rPr>
              <w:t>Ge(111)</w:t>
            </w:r>
          </w:p>
        </w:tc>
        <w:tc>
          <w:tcPr>
            <w:tcW w:w="1746" w:type="dxa"/>
            <w:shd w:val="clear" w:color="auto" w:fill="auto"/>
            <w:vAlign w:val="center"/>
          </w:tcPr>
          <w:p>
            <w:pPr>
              <w:pStyle w:val="178"/>
              <w:rPr>
                <w:rFonts w:ascii="Times New Roman"/>
                <w:szCs w:val="18"/>
              </w:rPr>
            </w:pPr>
            <w:r>
              <w:rPr>
                <w:rFonts w:ascii="Times New Roman"/>
                <w:szCs w:val="18"/>
              </w:rPr>
              <w:t>氢气、氦气或真空</w:t>
            </w:r>
          </w:p>
        </w:tc>
        <w:tc>
          <w:tcPr>
            <w:tcW w:w="922" w:type="dxa"/>
            <w:shd w:val="clear" w:color="auto" w:fill="auto"/>
            <w:vAlign w:val="center"/>
          </w:tcPr>
          <w:p>
            <w:pPr>
              <w:pStyle w:val="178"/>
              <w:rPr>
                <w:rFonts w:ascii="Times New Roman"/>
                <w:szCs w:val="18"/>
              </w:rPr>
            </w:pPr>
            <w:r>
              <w:rPr>
                <w:rFonts w:ascii="Times New Roman"/>
                <w:szCs w:val="18"/>
              </w:rPr>
              <w:t>SDD</w:t>
            </w:r>
          </w:p>
        </w:tc>
        <w:tc>
          <w:tcPr>
            <w:tcW w:w="1334" w:type="dxa"/>
            <w:shd w:val="clear" w:color="auto" w:fill="auto"/>
            <w:vAlign w:val="center"/>
          </w:tcPr>
          <w:p>
            <w:pPr>
              <w:pStyle w:val="178"/>
              <w:rPr>
                <w:rFonts w:ascii="Times New Roman"/>
                <w:szCs w:val="18"/>
              </w:rPr>
            </w:pPr>
            <w:r>
              <w:rPr>
                <w:rFonts w:ascii="Times New Roman"/>
                <w:szCs w:val="18"/>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pPr>
              <w:pStyle w:val="178"/>
              <w:rPr>
                <w:rFonts w:ascii="Times New Roman"/>
                <w:szCs w:val="18"/>
              </w:rPr>
            </w:pPr>
            <w:r>
              <w:rPr>
                <w:rFonts w:ascii="Times New Roman"/>
                <w:szCs w:val="18"/>
              </w:rPr>
              <w:t>Ti</w:t>
            </w:r>
          </w:p>
        </w:tc>
        <w:tc>
          <w:tcPr>
            <w:tcW w:w="1333" w:type="dxa"/>
            <w:shd w:val="clear" w:color="auto" w:fill="auto"/>
            <w:vAlign w:val="center"/>
          </w:tcPr>
          <w:p>
            <w:pPr>
              <w:pStyle w:val="178"/>
              <w:rPr>
                <w:rFonts w:ascii="Times New Roman"/>
                <w:szCs w:val="18"/>
              </w:rPr>
            </w:pPr>
            <w:r>
              <w:rPr>
                <w:rFonts w:ascii="Times New Roman"/>
                <w:szCs w:val="18"/>
              </w:rPr>
              <w:t>45</w:t>
            </w:r>
          </w:p>
        </w:tc>
        <w:tc>
          <w:tcPr>
            <w:tcW w:w="1333" w:type="dxa"/>
            <w:shd w:val="clear" w:color="auto" w:fill="auto"/>
            <w:vAlign w:val="center"/>
          </w:tcPr>
          <w:p>
            <w:pPr>
              <w:pStyle w:val="178"/>
              <w:rPr>
                <w:rFonts w:ascii="Times New Roman"/>
                <w:szCs w:val="18"/>
              </w:rPr>
            </w:pPr>
            <w:r>
              <w:rPr>
                <w:rFonts w:ascii="Times New Roman"/>
                <w:szCs w:val="18"/>
              </w:rPr>
              <w:t>1 000</w:t>
            </w:r>
          </w:p>
        </w:tc>
        <w:tc>
          <w:tcPr>
            <w:tcW w:w="1334" w:type="dxa"/>
            <w:shd w:val="clear" w:color="auto" w:fill="auto"/>
            <w:vAlign w:val="center"/>
          </w:tcPr>
          <w:p>
            <w:pPr>
              <w:pStyle w:val="178"/>
              <w:rPr>
                <w:rFonts w:ascii="Times New Roman"/>
                <w:szCs w:val="18"/>
              </w:rPr>
            </w:pPr>
            <w:r>
              <w:rPr>
                <w:rFonts w:ascii="Times New Roman"/>
                <w:szCs w:val="18"/>
              </w:rPr>
              <w:t>LiF(200)</w:t>
            </w:r>
          </w:p>
        </w:tc>
        <w:tc>
          <w:tcPr>
            <w:tcW w:w="1746" w:type="dxa"/>
            <w:shd w:val="clear" w:color="auto" w:fill="auto"/>
            <w:vAlign w:val="center"/>
          </w:tcPr>
          <w:p>
            <w:pPr>
              <w:pStyle w:val="178"/>
              <w:rPr>
                <w:rFonts w:ascii="Times New Roman"/>
                <w:szCs w:val="18"/>
              </w:rPr>
            </w:pPr>
            <w:r>
              <w:rPr>
                <w:rFonts w:ascii="Times New Roman"/>
                <w:szCs w:val="18"/>
              </w:rPr>
              <w:t>氢气、氦气或真空</w:t>
            </w:r>
          </w:p>
        </w:tc>
        <w:tc>
          <w:tcPr>
            <w:tcW w:w="922" w:type="dxa"/>
            <w:shd w:val="clear" w:color="auto" w:fill="auto"/>
            <w:vAlign w:val="center"/>
          </w:tcPr>
          <w:p>
            <w:pPr>
              <w:pStyle w:val="178"/>
              <w:rPr>
                <w:rFonts w:ascii="Times New Roman"/>
                <w:szCs w:val="18"/>
              </w:rPr>
            </w:pPr>
            <w:r>
              <w:rPr>
                <w:rFonts w:ascii="Times New Roman"/>
                <w:szCs w:val="18"/>
              </w:rPr>
              <w:t>SDD</w:t>
            </w:r>
          </w:p>
        </w:tc>
        <w:tc>
          <w:tcPr>
            <w:tcW w:w="1334" w:type="dxa"/>
            <w:shd w:val="clear" w:color="auto" w:fill="auto"/>
            <w:vAlign w:val="center"/>
          </w:tcPr>
          <w:p>
            <w:pPr>
              <w:pStyle w:val="178"/>
              <w:rPr>
                <w:rFonts w:ascii="Times New Roman"/>
                <w:szCs w:val="18"/>
              </w:rPr>
            </w:pPr>
            <w:r>
              <w:rPr>
                <w:rFonts w:ascii="Times New Roman"/>
                <w:szCs w:val="18"/>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332" w:type="dxa"/>
            <w:shd w:val="clear" w:color="auto" w:fill="auto"/>
            <w:vAlign w:val="center"/>
          </w:tcPr>
          <w:p>
            <w:pPr>
              <w:pStyle w:val="178"/>
              <w:rPr>
                <w:rFonts w:ascii="Times New Roman"/>
                <w:szCs w:val="18"/>
              </w:rPr>
            </w:pPr>
            <w:r>
              <w:rPr>
                <w:rFonts w:ascii="Times New Roman"/>
                <w:szCs w:val="18"/>
              </w:rPr>
              <w:t>S</w:t>
            </w:r>
          </w:p>
        </w:tc>
        <w:tc>
          <w:tcPr>
            <w:tcW w:w="1333" w:type="dxa"/>
            <w:shd w:val="clear" w:color="auto" w:fill="auto"/>
            <w:vAlign w:val="center"/>
          </w:tcPr>
          <w:p>
            <w:pPr>
              <w:pStyle w:val="178"/>
              <w:rPr>
                <w:rFonts w:ascii="Times New Roman"/>
                <w:szCs w:val="18"/>
              </w:rPr>
            </w:pPr>
            <w:r>
              <w:rPr>
                <w:rFonts w:ascii="Times New Roman"/>
                <w:szCs w:val="18"/>
              </w:rPr>
              <w:t>45</w:t>
            </w:r>
          </w:p>
        </w:tc>
        <w:tc>
          <w:tcPr>
            <w:tcW w:w="1333" w:type="dxa"/>
            <w:shd w:val="clear" w:color="auto" w:fill="auto"/>
            <w:vAlign w:val="center"/>
          </w:tcPr>
          <w:p>
            <w:pPr>
              <w:pStyle w:val="178"/>
              <w:rPr>
                <w:rFonts w:ascii="Times New Roman"/>
                <w:szCs w:val="18"/>
              </w:rPr>
            </w:pPr>
            <w:r>
              <w:rPr>
                <w:rFonts w:ascii="Times New Roman"/>
                <w:szCs w:val="18"/>
              </w:rPr>
              <w:t>1 000</w:t>
            </w:r>
          </w:p>
        </w:tc>
        <w:tc>
          <w:tcPr>
            <w:tcW w:w="1334" w:type="dxa"/>
            <w:shd w:val="clear" w:color="auto" w:fill="auto"/>
            <w:vAlign w:val="center"/>
          </w:tcPr>
          <w:p>
            <w:pPr>
              <w:pStyle w:val="178"/>
              <w:rPr>
                <w:rFonts w:ascii="Times New Roman"/>
                <w:szCs w:val="18"/>
              </w:rPr>
            </w:pPr>
            <w:r>
              <w:rPr>
                <w:rFonts w:ascii="Times New Roman"/>
                <w:szCs w:val="18"/>
              </w:rPr>
              <w:t>Ge(111)</w:t>
            </w:r>
          </w:p>
        </w:tc>
        <w:tc>
          <w:tcPr>
            <w:tcW w:w="1746" w:type="dxa"/>
            <w:shd w:val="clear" w:color="auto" w:fill="auto"/>
            <w:vAlign w:val="center"/>
          </w:tcPr>
          <w:p>
            <w:pPr>
              <w:pStyle w:val="178"/>
              <w:rPr>
                <w:rFonts w:ascii="Times New Roman"/>
                <w:szCs w:val="18"/>
              </w:rPr>
            </w:pPr>
            <w:r>
              <w:rPr>
                <w:rFonts w:ascii="Times New Roman"/>
                <w:szCs w:val="18"/>
              </w:rPr>
              <w:t>氢气、氦气或真空</w:t>
            </w:r>
          </w:p>
        </w:tc>
        <w:tc>
          <w:tcPr>
            <w:tcW w:w="922" w:type="dxa"/>
            <w:shd w:val="clear" w:color="auto" w:fill="auto"/>
            <w:vAlign w:val="center"/>
          </w:tcPr>
          <w:p>
            <w:pPr>
              <w:pStyle w:val="178"/>
              <w:rPr>
                <w:rFonts w:ascii="Times New Roman"/>
                <w:szCs w:val="18"/>
              </w:rPr>
            </w:pPr>
            <w:r>
              <w:rPr>
                <w:rFonts w:ascii="Times New Roman"/>
                <w:szCs w:val="18"/>
              </w:rPr>
              <w:t>SDD</w:t>
            </w:r>
          </w:p>
        </w:tc>
        <w:tc>
          <w:tcPr>
            <w:tcW w:w="1334" w:type="dxa"/>
            <w:shd w:val="clear" w:color="auto" w:fill="auto"/>
            <w:vAlign w:val="center"/>
          </w:tcPr>
          <w:p>
            <w:pPr>
              <w:pStyle w:val="178"/>
              <w:rPr>
                <w:rFonts w:ascii="Times New Roman"/>
                <w:szCs w:val="18"/>
              </w:rPr>
            </w:pPr>
            <w:r>
              <w:rPr>
                <w:rFonts w:ascii="Times New Roman"/>
                <w:szCs w:val="18"/>
              </w:rPr>
              <w:t>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7"/>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color w:val="000000" w:themeColor="text1"/>
                <w:szCs w:val="18"/>
                <w14:textFill>
                  <w14:solidFill>
                    <w14:schemeClr w14:val="tx1"/>
                  </w14:solidFill>
                </w14:textFill>
              </w:rPr>
              <w:t>注：  各厂商仪器型号所采用的光管和光路技术不同，设置条件不同，依据所使用的仪器硬件条件设置</w:t>
            </w:r>
          </w:p>
        </w:tc>
      </w:tr>
    </w:tbl>
    <w:p>
      <w:pPr>
        <w:pStyle w:val="56"/>
        <w:ind w:firstLine="420"/>
        <w:sectPr>
          <w:pgSz w:w="11906" w:h="16838"/>
          <w:pgMar w:top="1928" w:right="1134" w:bottom="1134" w:left="1134" w:header="1418" w:footer="1134" w:gutter="284"/>
          <w:cols w:space="425" w:num="1"/>
          <w:formProt w:val="0"/>
          <w:docGrid w:linePitch="312" w:charSpace="0"/>
        </w:sectPr>
      </w:pPr>
    </w:p>
    <w:p>
      <w:pPr>
        <w:pStyle w:val="76"/>
        <w:spacing w:after="120"/>
      </w:pPr>
      <w:r>
        <w:br w:type="textWrapping"/>
      </w:r>
      <w:bookmarkStart w:id="94" w:name="_Toc124409550"/>
      <w:r>
        <w:rPr>
          <w:rFonts w:hint="eastAsia"/>
        </w:rPr>
        <w:t>（资料性）</w:t>
      </w:r>
      <w:r>
        <w:br w:type="textWrapping"/>
      </w:r>
      <w:r>
        <w:rPr>
          <w:rFonts w:hint="eastAsia"/>
        </w:rPr>
        <w:t>各元素含量范围</w:t>
      </w:r>
      <w:bookmarkEnd w:id="94"/>
    </w:p>
    <w:p>
      <w:pPr>
        <w:pStyle w:val="77"/>
        <w:numPr>
          <w:ilvl w:val="0"/>
          <w:numId w:val="0"/>
        </w:numPr>
        <w:spacing w:before="120" w:after="120"/>
      </w:pPr>
      <w:r>
        <w:rPr>
          <w:rFonts w:hint="eastAsia" w:ascii="Times New Roman"/>
          <w:color w:val="000000" w:themeColor="text1"/>
          <w14:textFill>
            <w14:solidFill>
              <w14:schemeClr w14:val="tx1"/>
            </w14:solidFill>
          </w14:textFill>
        </w:rPr>
        <w:t>表C</w:t>
      </w:r>
      <w:r>
        <w:rPr>
          <w:rFonts w:ascii="Times New Roman"/>
          <w:color w:val="000000" w:themeColor="text1"/>
          <w14:textFill>
            <w14:solidFill>
              <w14:schemeClr w14:val="tx1"/>
            </w14:solidFill>
          </w14:textFill>
        </w:rPr>
        <w:t xml:space="preserve">.1 </w:t>
      </w:r>
      <w:r>
        <w:rPr>
          <w:rFonts w:hint="eastAsia" w:ascii="Times New Roman"/>
          <w:color w:val="000000" w:themeColor="text1"/>
          <w14:textFill>
            <w14:solidFill>
              <w14:schemeClr w14:val="tx1"/>
            </w14:solidFill>
          </w14:textFill>
        </w:rPr>
        <w:t>各元素含量范围</w:t>
      </w:r>
    </w:p>
    <w:tbl>
      <w:tblPr>
        <w:tblStyle w:val="26"/>
        <w:tblW w:w="3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868" w:type="dxa"/>
            <w:vAlign w:val="center"/>
          </w:tcPr>
          <w:p>
            <w:pPr>
              <w:widowControl/>
              <w:tabs>
                <w:tab w:val="left" w:pos="6406"/>
              </w:tabs>
              <w:adjustRightInd/>
              <w:spacing w:after="120" w:afterLines="50" w:line="360" w:lineRule="auto"/>
              <w:jc w:val="center"/>
              <w:rPr>
                <w:rFonts w:ascii="Times New Roman" w:hAnsi="Times New Roman"/>
                <w:kern w:val="0"/>
                <w:sz w:val="18"/>
                <w:szCs w:val="18"/>
              </w:rPr>
            </w:pPr>
            <w:bookmarkStart w:id="95" w:name="_Toc124364658"/>
            <w:bookmarkStart w:id="96" w:name="_Hlk124409293"/>
            <w:r>
              <w:rPr>
                <w:rFonts w:ascii="Times New Roman" w:hAnsi="Times New Roman"/>
                <w:bCs/>
                <w:color w:val="000000" w:themeColor="text1"/>
                <w:kern w:val="0"/>
                <w:sz w:val="18"/>
                <w:szCs w:val="18"/>
                <w14:textFill>
                  <w14:solidFill>
                    <w14:schemeClr w14:val="tx1"/>
                  </w14:solidFill>
                </w14:textFill>
              </w:rPr>
              <w:t>分析项目</w:t>
            </w:r>
            <w:bookmarkEnd w:id="95"/>
          </w:p>
        </w:tc>
        <w:tc>
          <w:tcPr>
            <w:tcW w:w="2096" w:type="dxa"/>
            <w:vAlign w:val="center"/>
          </w:tcPr>
          <w:p>
            <w:pPr>
              <w:widowControl/>
              <w:tabs>
                <w:tab w:val="left" w:pos="6406"/>
              </w:tabs>
              <w:adjustRightInd/>
              <w:spacing w:after="120" w:afterLines="50" w:line="360" w:lineRule="auto"/>
              <w:jc w:val="center"/>
              <w:rPr>
                <w:rFonts w:ascii="Times New Roman" w:hAnsi="Times New Roman"/>
                <w:kern w:val="0"/>
                <w:sz w:val="18"/>
                <w:szCs w:val="18"/>
              </w:rPr>
            </w:pPr>
            <w:bookmarkStart w:id="97" w:name="_Toc124364659"/>
            <w:r>
              <w:rPr>
                <w:rFonts w:ascii="Times New Roman" w:hAnsi="Times New Roman"/>
                <w:kern w:val="0"/>
                <w:sz w:val="18"/>
                <w:szCs w:val="18"/>
              </w:rPr>
              <w:t>含量范围（%）</w:t>
            </w:r>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pPr>
              <w:widowControl/>
              <w:tabs>
                <w:tab w:val="left" w:pos="6406"/>
              </w:tabs>
              <w:adjustRightInd/>
              <w:spacing w:after="120" w:afterLines="50" w:line="360" w:lineRule="auto"/>
              <w:jc w:val="center"/>
              <w:rPr>
                <w:rFonts w:ascii="Times New Roman" w:hAnsi="Times New Roman"/>
                <w:kern w:val="0"/>
                <w:sz w:val="18"/>
                <w:szCs w:val="18"/>
              </w:rPr>
            </w:pPr>
            <w:bookmarkStart w:id="98" w:name="_Toc124364660"/>
            <w:r>
              <w:rPr>
                <w:rFonts w:ascii="Times New Roman" w:hAnsi="Times New Roman"/>
                <w:color w:val="000000" w:themeColor="text1"/>
                <w:kern w:val="0"/>
                <w:sz w:val="18"/>
                <w:szCs w:val="18"/>
                <w14:textFill>
                  <w14:solidFill>
                    <w14:schemeClr w14:val="tx1"/>
                  </w14:solidFill>
                </w14:textFill>
              </w:rPr>
              <w:t>SiO</w:t>
            </w:r>
            <w:r>
              <w:rPr>
                <w:rFonts w:ascii="Times New Roman" w:hAnsi="Times New Roman"/>
                <w:color w:val="000000" w:themeColor="text1"/>
                <w:kern w:val="0"/>
                <w:sz w:val="18"/>
                <w:szCs w:val="18"/>
                <w:vertAlign w:val="subscript"/>
                <w14:textFill>
                  <w14:solidFill>
                    <w14:schemeClr w14:val="tx1"/>
                  </w14:solidFill>
                </w14:textFill>
              </w:rPr>
              <w:t>2</w:t>
            </w:r>
            <w:bookmarkEnd w:id="98"/>
          </w:p>
        </w:tc>
        <w:tc>
          <w:tcPr>
            <w:tcW w:w="2096" w:type="dxa"/>
            <w:vAlign w:val="center"/>
          </w:tcPr>
          <w:p>
            <w:pPr>
              <w:widowControl/>
              <w:tabs>
                <w:tab w:val="left" w:pos="6406"/>
              </w:tabs>
              <w:adjustRightInd/>
              <w:spacing w:after="120" w:afterLines="50" w:line="360" w:lineRule="auto"/>
              <w:jc w:val="center"/>
              <w:rPr>
                <w:rFonts w:ascii="Times New Roman" w:hAnsi="Times New Roman"/>
                <w:kern w:val="0"/>
                <w:sz w:val="18"/>
                <w:szCs w:val="18"/>
              </w:rPr>
            </w:pPr>
            <w:bookmarkStart w:id="99" w:name="_Toc124364661"/>
            <w:r>
              <w:rPr>
                <w:rFonts w:ascii="Times New Roman" w:hAnsi="Times New Roman"/>
                <w:color w:val="000000" w:themeColor="text1"/>
                <w:kern w:val="0"/>
                <w:sz w:val="18"/>
                <w:szCs w:val="18"/>
                <w14:textFill>
                  <w14:solidFill>
                    <w14:schemeClr w14:val="tx1"/>
                  </w14:solidFill>
                </w14:textFill>
              </w:rPr>
              <w:t>30%~85%</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pPr>
              <w:widowControl/>
              <w:tabs>
                <w:tab w:val="left" w:pos="6406"/>
              </w:tabs>
              <w:adjustRightInd/>
              <w:spacing w:after="120" w:afterLines="50" w:line="360" w:lineRule="auto"/>
              <w:jc w:val="center"/>
              <w:rPr>
                <w:rFonts w:ascii="Times New Roman" w:hAnsi="Times New Roman"/>
                <w:kern w:val="0"/>
                <w:sz w:val="18"/>
                <w:szCs w:val="18"/>
              </w:rPr>
            </w:pPr>
            <w:bookmarkStart w:id="100" w:name="_Toc124364662"/>
            <w:r>
              <w:rPr>
                <w:rFonts w:ascii="Times New Roman" w:hAnsi="Times New Roman"/>
                <w:color w:val="000000" w:themeColor="text1"/>
                <w:kern w:val="0"/>
                <w:sz w:val="18"/>
                <w:szCs w:val="18"/>
                <w14:textFill>
                  <w14:solidFill>
                    <w14:schemeClr w14:val="tx1"/>
                  </w14:solidFill>
                </w14:textFill>
              </w:rPr>
              <w:t>Al</w:t>
            </w:r>
            <w:r>
              <w:rPr>
                <w:rFonts w:ascii="Times New Roman" w:hAnsi="Times New Roman"/>
                <w:color w:val="000000" w:themeColor="text1"/>
                <w:kern w:val="0"/>
                <w:sz w:val="18"/>
                <w:szCs w:val="18"/>
                <w:vertAlign w:val="sub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O</w:t>
            </w:r>
            <w:r>
              <w:rPr>
                <w:rFonts w:ascii="Times New Roman" w:hAnsi="Times New Roman"/>
                <w:color w:val="000000" w:themeColor="text1"/>
                <w:kern w:val="0"/>
                <w:sz w:val="18"/>
                <w:szCs w:val="18"/>
                <w:vertAlign w:val="subscript"/>
                <w14:textFill>
                  <w14:solidFill>
                    <w14:schemeClr w14:val="tx1"/>
                  </w14:solidFill>
                </w14:textFill>
              </w:rPr>
              <w:t>3</w:t>
            </w:r>
            <w:bookmarkEnd w:id="100"/>
          </w:p>
        </w:tc>
        <w:tc>
          <w:tcPr>
            <w:tcW w:w="2096" w:type="dxa"/>
            <w:vAlign w:val="center"/>
          </w:tcPr>
          <w:p>
            <w:pPr>
              <w:widowControl/>
              <w:tabs>
                <w:tab w:val="left" w:pos="6406"/>
              </w:tabs>
              <w:adjustRightInd/>
              <w:spacing w:after="120" w:afterLines="50" w:line="360" w:lineRule="auto"/>
              <w:jc w:val="center"/>
              <w:rPr>
                <w:rFonts w:ascii="Times New Roman" w:hAnsi="Times New Roman"/>
                <w:kern w:val="0"/>
                <w:sz w:val="18"/>
                <w:szCs w:val="18"/>
              </w:rPr>
            </w:pPr>
            <w:bookmarkStart w:id="101" w:name="_Toc124364663"/>
            <w:r>
              <w:rPr>
                <w:rFonts w:ascii="Times New Roman" w:hAnsi="Times New Roman"/>
                <w:color w:val="000000" w:themeColor="text1"/>
                <w:kern w:val="0"/>
                <w:sz w:val="18"/>
                <w:szCs w:val="18"/>
                <w14:textFill>
                  <w14:solidFill>
                    <w14:schemeClr w14:val="tx1"/>
                  </w14:solidFill>
                </w14:textFill>
              </w:rPr>
              <w:t>7%~30%</w:t>
            </w:r>
            <w:bookmarkEnd w:id="1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pPr>
              <w:widowControl/>
              <w:tabs>
                <w:tab w:val="left" w:pos="6406"/>
              </w:tabs>
              <w:adjustRightInd/>
              <w:spacing w:after="120" w:afterLines="50" w:line="360" w:lineRule="auto"/>
              <w:jc w:val="center"/>
              <w:rPr>
                <w:rFonts w:ascii="Times New Roman" w:hAnsi="Times New Roman"/>
                <w:kern w:val="0"/>
                <w:sz w:val="18"/>
                <w:szCs w:val="18"/>
              </w:rPr>
            </w:pPr>
            <w:bookmarkStart w:id="102" w:name="_Toc124364664"/>
            <w:r>
              <w:rPr>
                <w:rFonts w:ascii="Times New Roman" w:hAnsi="Times New Roman"/>
                <w:color w:val="000000" w:themeColor="text1"/>
                <w:kern w:val="0"/>
                <w:sz w:val="18"/>
                <w:szCs w:val="18"/>
                <w14:textFill>
                  <w14:solidFill>
                    <w14:schemeClr w14:val="tx1"/>
                  </w14:solidFill>
                </w14:textFill>
              </w:rPr>
              <w:t>Na</w:t>
            </w:r>
            <w:r>
              <w:rPr>
                <w:rFonts w:ascii="Times New Roman" w:hAnsi="Times New Roman"/>
                <w:color w:val="000000" w:themeColor="text1"/>
                <w:kern w:val="0"/>
                <w:sz w:val="18"/>
                <w:szCs w:val="18"/>
                <w:vertAlign w:val="sub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O</w:t>
            </w:r>
            <w:bookmarkEnd w:id="102"/>
          </w:p>
        </w:tc>
        <w:tc>
          <w:tcPr>
            <w:tcW w:w="2096" w:type="dxa"/>
            <w:vAlign w:val="center"/>
          </w:tcPr>
          <w:p>
            <w:pPr>
              <w:widowControl/>
              <w:tabs>
                <w:tab w:val="left" w:pos="6406"/>
              </w:tabs>
              <w:adjustRightInd/>
              <w:spacing w:after="120" w:afterLines="50" w:line="360" w:lineRule="auto"/>
              <w:jc w:val="center"/>
              <w:rPr>
                <w:rFonts w:ascii="Times New Roman" w:hAnsi="Times New Roman"/>
                <w:kern w:val="0"/>
                <w:sz w:val="18"/>
                <w:szCs w:val="18"/>
              </w:rPr>
            </w:pPr>
            <w:bookmarkStart w:id="103" w:name="_Toc124364665"/>
            <w:r>
              <w:rPr>
                <w:rFonts w:ascii="Times New Roman" w:hAnsi="Times New Roman"/>
                <w:color w:val="000000" w:themeColor="text1"/>
                <w:kern w:val="0"/>
                <w:sz w:val="18"/>
                <w:szCs w:val="18"/>
                <w14:textFill>
                  <w14:solidFill>
                    <w14:schemeClr w14:val="tx1"/>
                  </w14:solidFill>
                </w14:textFill>
              </w:rPr>
              <w:t>0.16%~5.0%</w:t>
            </w:r>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pPr>
              <w:widowControl/>
              <w:tabs>
                <w:tab w:val="left" w:pos="6406"/>
              </w:tabs>
              <w:adjustRightInd/>
              <w:spacing w:after="120" w:afterLines="50" w:line="360" w:lineRule="auto"/>
              <w:jc w:val="center"/>
              <w:rPr>
                <w:rFonts w:ascii="Times New Roman" w:hAnsi="Times New Roman"/>
                <w:kern w:val="0"/>
                <w:sz w:val="18"/>
                <w:szCs w:val="18"/>
              </w:rPr>
            </w:pPr>
            <w:bookmarkStart w:id="104" w:name="_Toc124364666"/>
            <w:r>
              <w:rPr>
                <w:rFonts w:ascii="Times New Roman" w:hAnsi="Times New Roman"/>
                <w:color w:val="000000" w:themeColor="text1"/>
                <w:kern w:val="0"/>
                <w:sz w:val="18"/>
                <w:szCs w:val="18"/>
                <w14:textFill>
                  <w14:solidFill>
                    <w14:schemeClr w14:val="tx1"/>
                  </w14:solidFill>
                </w14:textFill>
              </w:rPr>
              <w:t>MgO</w:t>
            </w:r>
            <w:bookmarkEnd w:id="104"/>
          </w:p>
        </w:tc>
        <w:tc>
          <w:tcPr>
            <w:tcW w:w="2096" w:type="dxa"/>
            <w:vAlign w:val="center"/>
          </w:tcPr>
          <w:p>
            <w:pPr>
              <w:widowControl/>
              <w:tabs>
                <w:tab w:val="left" w:pos="6406"/>
              </w:tabs>
              <w:adjustRightInd/>
              <w:spacing w:after="120" w:afterLines="50" w:line="360" w:lineRule="auto"/>
              <w:jc w:val="center"/>
              <w:rPr>
                <w:rFonts w:ascii="Times New Roman" w:hAnsi="Times New Roman"/>
                <w:kern w:val="0"/>
                <w:sz w:val="18"/>
                <w:szCs w:val="18"/>
              </w:rPr>
            </w:pPr>
            <w:bookmarkStart w:id="105" w:name="_Toc124364667"/>
            <w:r>
              <w:rPr>
                <w:rFonts w:ascii="Times New Roman" w:hAnsi="Times New Roman"/>
                <w:color w:val="000000" w:themeColor="text1"/>
                <w:kern w:val="0"/>
                <w:sz w:val="18"/>
                <w:szCs w:val="18"/>
                <w14:textFill>
                  <w14:solidFill>
                    <w14:schemeClr w14:val="tx1"/>
                  </w14:solidFill>
                </w14:textFill>
              </w:rPr>
              <w:t>0.2%~5.0%</w:t>
            </w:r>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pPr>
              <w:widowControl/>
              <w:tabs>
                <w:tab w:val="left" w:pos="6406"/>
              </w:tabs>
              <w:adjustRightInd/>
              <w:spacing w:after="120" w:afterLines="50" w:line="360" w:lineRule="auto"/>
              <w:jc w:val="center"/>
              <w:rPr>
                <w:rFonts w:ascii="Times New Roman" w:hAnsi="Times New Roman"/>
                <w:color w:val="000000" w:themeColor="text1"/>
                <w:kern w:val="0"/>
                <w:sz w:val="18"/>
                <w:szCs w:val="18"/>
                <w14:textFill>
                  <w14:solidFill>
                    <w14:schemeClr w14:val="tx1"/>
                  </w14:solidFill>
                </w14:textFill>
              </w:rPr>
            </w:pPr>
            <w:bookmarkStart w:id="106" w:name="_Toc124364668"/>
            <w:r>
              <w:rPr>
                <w:rFonts w:ascii="Times New Roman" w:hAnsi="Times New Roman"/>
                <w:color w:val="000000" w:themeColor="text1"/>
                <w:kern w:val="0"/>
                <w:sz w:val="18"/>
                <w:szCs w:val="18"/>
                <w14:textFill>
                  <w14:solidFill>
                    <w14:schemeClr w14:val="tx1"/>
                  </w14:solidFill>
                </w14:textFill>
              </w:rPr>
              <w:t>K</w:t>
            </w:r>
            <w:r>
              <w:rPr>
                <w:rFonts w:ascii="Times New Roman" w:hAnsi="Times New Roman"/>
                <w:color w:val="000000" w:themeColor="text1"/>
                <w:kern w:val="0"/>
                <w:sz w:val="18"/>
                <w:szCs w:val="18"/>
                <w:vertAlign w:val="sub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O</w:t>
            </w:r>
            <w:bookmarkEnd w:id="106"/>
          </w:p>
        </w:tc>
        <w:tc>
          <w:tcPr>
            <w:tcW w:w="2096" w:type="dxa"/>
            <w:vAlign w:val="center"/>
          </w:tcPr>
          <w:p>
            <w:pPr>
              <w:widowControl/>
              <w:tabs>
                <w:tab w:val="left" w:pos="6406"/>
              </w:tabs>
              <w:adjustRightInd/>
              <w:spacing w:after="120" w:afterLines="50" w:line="360" w:lineRule="auto"/>
              <w:jc w:val="center"/>
              <w:rPr>
                <w:rFonts w:ascii="Times New Roman" w:hAnsi="Times New Roman"/>
                <w:color w:val="000000" w:themeColor="text1"/>
                <w:kern w:val="0"/>
                <w:sz w:val="18"/>
                <w:szCs w:val="18"/>
                <w14:textFill>
                  <w14:solidFill>
                    <w14:schemeClr w14:val="tx1"/>
                  </w14:solidFill>
                </w14:textFill>
              </w:rPr>
            </w:pPr>
            <w:bookmarkStart w:id="107" w:name="_Toc124364669"/>
            <w:r>
              <w:rPr>
                <w:rFonts w:ascii="Times New Roman" w:hAnsi="Times New Roman"/>
                <w:color w:val="000000" w:themeColor="text1"/>
                <w:kern w:val="0"/>
                <w:sz w:val="18"/>
                <w:szCs w:val="18"/>
                <w14:textFill>
                  <w14:solidFill>
                    <w14:schemeClr w14:val="tx1"/>
                  </w14:solidFill>
                </w14:textFill>
              </w:rPr>
              <w:t>0.2%~5.0%</w:t>
            </w:r>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pPr>
              <w:widowControl/>
              <w:tabs>
                <w:tab w:val="left" w:pos="6406"/>
              </w:tabs>
              <w:adjustRightInd/>
              <w:spacing w:after="120" w:afterLines="50" w:line="360" w:lineRule="auto"/>
              <w:jc w:val="center"/>
              <w:rPr>
                <w:rFonts w:ascii="Times New Roman" w:hAnsi="Times New Roman"/>
                <w:color w:val="000000" w:themeColor="text1"/>
                <w:kern w:val="0"/>
                <w:sz w:val="18"/>
                <w:szCs w:val="18"/>
                <w14:textFill>
                  <w14:solidFill>
                    <w14:schemeClr w14:val="tx1"/>
                  </w14:solidFill>
                </w14:textFill>
              </w:rPr>
            </w:pPr>
            <w:bookmarkStart w:id="108" w:name="_Toc124364670"/>
            <w:r>
              <w:rPr>
                <w:rFonts w:ascii="Times New Roman" w:hAnsi="Times New Roman"/>
                <w:color w:val="000000" w:themeColor="text1"/>
                <w:kern w:val="0"/>
                <w:sz w:val="18"/>
                <w:szCs w:val="18"/>
                <w14:textFill>
                  <w14:solidFill>
                    <w14:schemeClr w14:val="tx1"/>
                  </w14:solidFill>
                </w14:textFill>
              </w:rPr>
              <w:t>CaO</w:t>
            </w:r>
            <w:bookmarkEnd w:id="108"/>
          </w:p>
        </w:tc>
        <w:tc>
          <w:tcPr>
            <w:tcW w:w="2096" w:type="dxa"/>
            <w:vAlign w:val="center"/>
          </w:tcPr>
          <w:p>
            <w:pPr>
              <w:widowControl/>
              <w:tabs>
                <w:tab w:val="left" w:pos="6406"/>
              </w:tabs>
              <w:adjustRightInd/>
              <w:spacing w:after="120" w:afterLines="50" w:line="360" w:lineRule="auto"/>
              <w:jc w:val="center"/>
              <w:rPr>
                <w:rFonts w:ascii="Times New Roman" w:hAnsi="Times New Roman"/>
                <w:color w:val="000000" w:themeColor="text1"/>
                <w:kern w:val="0"/>
                <w:sz w:val="18"/>
                <w:szCs w:val="18"/>
                <w14:textFill>
                  <w14:solidFill>
                    <w14:schemeClr w14:val="tx1"/>
                  </w14:solidFill>
                </w14:textFill>
              </w:rPr>
            </w:pPr>
            <w:bookmarkStart w:id="109" w:name="_Toc124364671"/>
            <w:r>
              <w:rPr>
                <w:rFonts w:ascii="Times New Roman" w:hAnsi="Times New Roman"/>
                <w:color w:val="000000" w:themeColor="text1"/>
                <w:kern w:val="0"/>
                <w:sz w:val="18"/>
                <w:szCs w:val="18"/>
                <w14:textFill>
                  <w14:solidFill>
                    <w14:schemeClr w14:val="tx1"/>
                  </w14:solidFill>
                </w14:textFill>
              </w:rPr>
              <w:t>0.1%~20%</w:t>
            </w:r>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pPr>
              <w:widowControl/>
              <w:tabs>
                <w:tab w:val="left" w:pos="6406"/>
              </w:tabs>
              <w:adjustRightInd/>
              <w:spacing w:after="120" w:afterLines="50" w:line="360" w:lineRule="auto"/>
              <w:jc w:val="center"/>
              <w:rPr>
                <w:rFonts w:ascii="Times New Roman" w:hAnsi="Times New Roman"/>
                <w:color w:val="000000" w:themeColor="text1"/>
                <w:kern w:val="0"/>
                <w:sz w:val="18"/>
                <w:szCs w:val="18"/>
                <w14:textFill>
                  <w14:solidFill>
                    <w14:schemeClr w14:val="tx1"/>
                  </w14:solidFill>
                </w14:textFill>
              </w:rPr>
            </w:pPr>
            <w:bookmarkStart w:id="110" w:name="_Toc124364672"/>
            <w:r>
              <w:rPr>
                <w:rFonts w:ascii="Times New Roman" w:hAnsi="Times New Roman"/>
                <w:color w:val="000000" w:themeColor="text1"/>
                <w:kern w:val="0"/>
                <w:sz w:val="18"/>
                <w:szCs w:val="18"/>
                <w14:textFill>
                  <w14:solidFill>
                    <w14:schemeClr w14:val="tx1"/>
                  </w14:solidFill>
                </w14:textFill>
              </w:rPr>
              <w:t>Fe</w:t>
            </w:r>
            <w:r>
              <w:rPr>
                <w:rFonts w:ascii="Times New Roman" w:hAnsi="Times New Roman"/>
                <w:color w:val="000000" w:themeColor="text1"/>
                <w:kern w:val="0"/>
                <w:sz w:val="18"/>
                <w:szCs w:val="18"/>
                <w:vertAlign w:val="sub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O</w:t>
            </w:r>
            <w:r>
              <w:rPr>
                <w:rFonts w:ascii="Times New Roman" w:hAnsi="Times New Roman"/>
                <w:color w:val="000000" w:themeColor="text1"/>
                <w:kern w:val="0"/>
                <w:sz w:val="18"/>
                <w:szCs w:val="18"/>
                <w:vertAlign w:val="subscript"/>
                <w14:textFill>
                  <w14:solidFill>
                    <w14:schemeClr w14:val="tx1"/>
                  </w14:solidFill>
                </w14:textFill>
              </w:rPr>
              <w:t>3</w:t>
            </w:r>
            <w:bookmarkEnd w:id="110"/>
          </w:p>
        </w:tc>
        <w:tc>
          <w:tcPr>
            <w:tcW w:w="2096" w:type="dxa"/>
            <w:vAlign w:val="center"/>
          </w:tcPr>
          <w:p>
            <w:pPr>
              <w:widowControl/>
              <w:tabs>
                <w:tab w:val="left" w:pos="6406"/>
              </w:tabs>
              <w:adjustRightInd/>
              <w:spacing w:after="120" w:afterLines="50" w:line="360" w:lineRule="auto"/>
              <w:jc w:val="center"/>
              <w:rPr>
                <w:rFonts w:ascii="Times New Roman" w:hAnsi="Times New Roman"/>
                <w:color w:val="000000" w:themeColor="text1"/>
                <w:kern w:val="0"/>
                <w:sz w:val="18"/>
                <w:szCs w:val="18"/>
                <w14:textFill>
                  <w14:solidFill>
                    <w14:schemeClr w14:val="tx1"/>
                  </w14:solidFill>
                </w14:textFill>
              </w:rPr>
            </w:pPr>
            <w:bookmarkStart w:id="111" w:name="_Toc124364673"/>
            <w:r>
              <w:rPr>
                <w:rFonts w:ascii="Times New Roman" w:hAnsi="Times New Roman"/>
                <w:color w:val="000000" w:themeColor="text1"/>
                <w:kern w:val="0"/>
                <w:sz w:val="18"/>
                <w:szCs w:val="18"/>
                <w14:textFill>
                  <w14:solidFill>
                    <w14:schemeClr w14:val="tx1"/>
                  </w14:solidFill>
                </w14:textFill>
              </w:rPr>
              <w:t>1%~20%</w:t>
            </w:r>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pPr>
              <w:widowControl/>
              <w:tabs>
                <w:tab w:val="left" w:pos="6406"/>
              </w:tabs>
              <w:adjustRightInd/>
              <w:spacing w:after="120" w:afterLines="50" w:line="360" w:lineRule="auto"/>
              <w:jc w:val="center"/>
              <w:rPr>
                <w:rFonts w:ascii="Times New Roman" w:hAnsi="Times New Roman"/>
                <w:color w:val="000000" w:themeColor="text1"/>
                <w:kern w:val="0"/>
                <w:sz w:val="18"/>
                <w:szCs w:val="18"/>
                <w14:textFill>
                  <w14:solidFill>
                    <w14:schemeClr w14:val="tx1"/>
                  </w14:solidFill>
                </w14:textFill>
              </w:rPr>
            </w:pPr>
            <w:bookmarkStart w:id="112" w:name="_Toc124364674"/>
            <w:r>
              <w:rPr>
                <w:rFonts w:ascii="Times New Roman" w:hAnsi="Times New Roman"/>
                <w:color w:val="000000" w:themeColor="text1"/>
                <w:kern w:val="0"/>
                <w:sz w:val="18"/>
                <w:szCs w:val="18"/>
                <w14:textFill>
                  <w14:solidFill>
                    <w14:schemeClr w14:val="tx1"/>
                  </w14:solidFill>
                </w14:textFill>
              </w:rPr>
              <w:t>Ti</w:t>
            </w:r>
            <w:bookmarkEnd w:id="112"/>
          </w:p>
        </w:tc>
        <w:tc>
          <w:tcPr>
            <w:tcW w:w="2096" w:type="dxa"/>
            <w:vAlign w:val="center"/>
          </w:tcPr>
          <w:p>
            <w:pPr>
              <w:widowControl/>
              <w:tabs>
                <w:tab w:val="left" w:pos="6406"/>
              </w:tabs>
              <w:adjustRightInd/>
              <w:spacing w:after="120" w:afterLines="50" w:line="360" w:lineRule="auto"/>
              <w:jc w:val="center"/>
              <w:rPr>
                <w:rFonts w:ascii="Times New Roman" w:hAnsi="Times New Roman"/>
                <w:color w:val="000000" w:themeColor="text1"/>
                <w:kern w:val="0"/>
                <w:sz w:val="18"/>
                <w:szCs w:val="18"/>
                <w14:textFill>
                  <w14:solidFill>
                    <w14:schemeClr w14:val="tx1"/>
                  </w14:solidFill>
                </w14:textFill>
              </w:rPr>
            </w:pPr>
            <w:bookmarkStart w:id="113" w:name="_Toc124364675"/>
            <w:r>
              <w:rPr>
                <w:rFonts w:ascii="Times New Roman" w:hAnsi="Times New Roman"/>
                <w:color w:val="000000" w:themeColor="text1"/>
                <w:kern w:val="0"/>
                <w:sz w:val="18"/>
                <w:szCs w:val="18"/>
                <w14:textFill>
                  <w14:solidFill>
                    <w14:schemeClr w14:val="tx1"/>
                  </w14:solidFill>
                </w14:textFill>
              </w:rPr>
              <w:t>1000 mg/kg~3.0%</w:t>
            </w:r>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pPr>
              <w:widowControl/>
              <w:tabs>
                <w:tab w:val="left" w:pos="6406"/>
              </w:tabs>
              <w:adjustRightInd/>
              <w:spacing w:after="120" w:afterLines="50" w:line="360" w:lineRule="auto"/>
              <w:jc w:val="center"/>
              <w:rPr>
                <w:rFonts w:ascii="Times New Roman" w:hAnsi="Times New Roman"/>
                <w:color w:val="000000" w:themeColor="text1"/>
                <w:kern w:val="0"/>
                <w:sz w:val="18"/>
                <w:szCs w:val="18"/>
                <w14:textFill>
                  <w14:solidFill>
                    <w14:schemeClr w14:val="tx1"/>
                  </w14:solidFill>
                </w14:textFill>
              </w:rPr>
            </w:pPr>
            <w:bookmarkStart w:id="114" w:name="_Toc124364676"/>
            <w:r>
              <w:rPr>
                <w:rFonts w:ascii="Times New Roman" w:hAnsi="Times New Roman"/>
                <w:color w:val="000000" w:themeColor="text1"/>
                <w:kern w:val="0"/>
                <w:sz w:val="18"/>
                <w:szCs w:val="18"/>
                <w14:textFill>
                  <w14:solidFill>
                    <w14:schemeClr w14:val="tx1"/>
                  </w14:solidFill>
                </w14:textFill>
              </w:rPr>
              <w:t>Mn</w:t>
            </w:r>
            <w:bookmarkEnd w:id="114"/>
          </w:p>
        </w:tc>
        <w:tc>
          <w:tcPr>
            <w:tcW w:w="2096" w:type="dxa"/>
            <w:vAlign w:val="center"/>
          </w:tcPr>
          <w:p>
            <w:pPr>
              <w:widowControl/>
              <w:tabs>
                <w:tab w:val="left" w:pos="6406"/>
              </w:tabs>
              <w:adjustRightInd/>
              <w:spacing w:after="120" w:afterLines="50" w:line="360" w:lineRule="auto"/>
              <w:jc w:val="center"/>
              <w:rPr>
                <w:rFonts w:ascii="Times New Roman" w:hAnsi="Times New Roman"/>
                <w:color w:val="000000" w:themeColor="text1"/>
                <w:kern w:val="0"/>
                <w:sz w:val="18"/>
                <w:szCs w:val="18"/>
                <w14:textFill>
                  <w14:solidFill>
                    <w14:schemeClr w14:val="tx1"/>
                  </w14:solidFill>
                </w14:textFill>
              </w:rPr>
            </w:pPr>
            <w:bookmarkStart w:id="115" w:name="_Toc124364677"/>
            <w:r>
              <w:rPr>
                <w:rFonts w:ascii="Times New Roman" w:hAnsi="Times New Roman"/>
                <w:color w:val="000000" w:themeColor="text1"/>
                <w:kern w:val="0"/>
                <w:sz w:val="18"/>
                <w:szCs w:val="18"/>
                <w14:textFill>
                  <w14:solidFill>
                    <w14:schemeClr w14:val="tx1"/>
                  </w14:solidFill>
                </w14:textFill>
              </w:rPr>
              <w:t>100 mg/kg~0.5%</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pPr>
              <w:widowControl/>
              <w:tabs>
                <w:tab w:val="left" w:pos="6406"/>
              </w:tabs>
              <w:adjustRightInd/>
              <w:spacing w:after="120" w:afterLines="50" w:line="360" w:lineRule="auto"/>
              <w:jc w:val="center"/>
              <w:rPr>
                <w:rFonts w:ascii="Times New Roman" w:hAnsi="Times New Roman"/>
                <w:color w:val="000000" w:themeColor="text1"/>
                <w:kern w:val="0"/>
                <w:sz w:val="18"/>
                <w:szCs w:val="18"/>
                <w14:textFill>
                  <w14:solidFill>
                    <w14:schemeClr w14:val="tx1"/>
                  </w14:solidFill>
                </w14:textFill>
              </w:rPr>
            </w:pPr>
            <w:bookmarkStart w:id="116" w:name="_Toc124364678"/>
            <w:r>
              <w:rPr>
                <w:rFonts w:ascii="Times New Roman" w:hAnsi="Times New Roman"/>
                <w:color w:val="000000" w:themeColor="text1"/>
                <w:kern w:val="0"/>
                <w:sz w:val="18"/>
                <w:szCs w:val="18"/>
                <w14:textFill>
                  <w14:solidFill>
                    <w14:schemeClr w14:val="tx1"/>
                  </w14:solidFill>
                </w14:textFill>
              </w:rPr>
              <w:t>P</w:t>
            </w:r>
            <w:bookmarkEnd w:id="116"/>
          </w:p>
        </w:tc>
        <w:tc>
          <w:tcPr>
            <w:tcW w:w="2096" w:type="dxa"/>
            <w:vAlign w:val="center"/>
          </w:tcPr>
          <w:p>
            <w:pPr>
              <w:widowControl/>
              <w:tabs>
                <w:tab w:val="left" w:pos="6406"/>
              </w:tabs>
              <w:adjustRightInd/>
              <w:spacing w:after="120" w:afterLines="50" w:line="360" w:lineRule="auto"/>
              <w:jc w:val="center"/>
              <w:rPr>
                <w:rFonts w:ascii="Times New Roman" w:hAnsi="Times New Roman"/>
                <w:color w:val="000000" w:themeColor="text1"/>
                <w:kern w:val="0"/>
                <w:sz w:val="18"/>
                <w:szCs w:val="18"/>
                <w14:textFill>
                  <w14:solidFill>
                    <w14:schemeClr w14:val="tx1"/>
                  </w14:solidFill>
                </w14:textFill>
              </w:rPr>
            </w:pPr>
            <w:bookmarkStart w:id="117" w:name="_Toc124364679"/>
            <w:r>
              <w:rPr>
                <w:rFonts w:ascii="Times New Roman" w:hAnsi="Times New Roman"/>
                <w:color w:val="000000" w:themeColor="text1"/>
                <w:kern w:val="0"/>
                <w:sz w:val="18"/>
                <w:szCs w:val="18"/>
                <w14:textFill>
                  <w14:solidFill>
                    <w14:schemeClr w14:val="tx1"/>
                  </w14:solidFill>
                </w14:textFill>
              </w:rPr>
              <w:t>100 mg/kg~0.5</w:t>
            </w:r>
            <w:r>
              <w:rPr>
                <w:rFonts w:hint="eastAsia" w:ascii="Times New Roman" w:hAnsi="Times New Roman"/>
                <w:color w:val="000000" w:themeColor="text1"/>
                <w:kern w:val="0"/>
                <w:sz w:val="18"/>
                <w:szCs w:val="18"/>
                <w14:textFill>
                  <w14:solidFill>
                    <w14:schemeClr w14:val="tx1"/>
                  </w14:solidFill>
                </w14:textFill>
              </w:rPr>
              <w:t>%</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8" w:type="dxa"/>
            <w:vAlign w:val="center"/>
          </w:tcPr>
          <w:p>
            <w:pPr>
              <w:widowControl/>
              <w:tabs>
                <w:tab w:val="left" w:pos="6406"/>
              </w:tabs>
              <w:adjustRightInd/>
              <w:spacing w:after="120" w:afterLines="50" w:line="360" w:lineRule="auto"/>
              <w:jc w:val="center"/>
              <w:rPr>
                <w:rFonts w:ascii="Times New Roman" w:hAnsi="Times New Roman"/>
                <w:color w:val="000000" w:themeColor="text1"/>
                <w:kern w:val="0"/>
                <w:sz w:val="18"/>
                <w:szCs w:val="18"/>
                <w14:textFill>
                  <w14:solidFill>
                    <w14:schemeClr w14:val="tx1"/>
                  </w14:solidFill>
                </w14:textFill>
              </w:rPr>
            </w:pPr>
            <w:bookmarkStart w:id="118" w:name="_Toc124364680"/>
            <w:r>
              <w:rPr>
                <w:rFonts w:ascii="Times New Roman" w:hAnsi="Times New Roman"/>
                <w:color w:val="000000" w:themeColor="text1"/>
                <w:kern w:val="0"/>
                <w:sz w:val="18"/>
                <w:szCs w:val="18"/>
                <w14:textFill>
                  <w14:solidFill>
                    <w14:schemeClr w14:val="tx1"/>
                  </w14:solidFill>
                </w14:textFill>
              </w:rPr>
              <w:t>S</w:t>
            </w:r>
            <w:bookmarkEnd w:id="118"/>
          </w:p>
        </w:tc>
        <w:tc>
          <w:tcPr>
            <w:tcW w:w="2096" w:type="dxa"/>
            <w:vAlign w:val="center"/>
          </w:tcPr>
          <w:p>
            <w:pPr>
              <w:widowControl/>
              <w:tabs>
                <w:tab w:val="left" w:pos="6406"/>
              </w:tabs>
              <w:adjustRightInd/>
              <w:spacing w:after="120" w:afterLines="50" w:line="360" w:lineRule="auto"/>
              <w:jc w:val="center"/>
              <w:rPr>
                <w:rFonts w:ascii="Times New Roman" w:hAnsi="Times New Roman"/>
                <w:color w:val="000000" w:themeColor="text1"/>
                <w:kern w:val="0"/>
                <w:sz w:val="18"/>
                <w:szCs w:val="18"/>
                <w14:textFill>
                  <w14:solidFill>
                    <w14:schemeClr w14:val="tx1"/>
                  </w14:solidFill>
                </w14:textFill>
              </w:rPr>
            </w:pPr>
            <w:bookmarkStart w:id="119" w:name="_Toc124364681"/>
            <w:r>
              <w:rPr>
                <w:rFonts w:ascii="Times New Roman" w:hAnsi="Times New Roman"/>
                <w:color w:val="000000" w:themeColor="text1"/>
                <w:kern w:val="0"/>
                <w:sz w:val="18"/>
                <w:szCs w:val="18"/>
                <w14:textFill>
                  <w14:solidFill>
                    <w14:schemeClr w14:val="tx1"/>
                  </w14:solidFill>
                </w14:textFill>
              </w:rPr>
              <w:t>50 mg/kg~1.0%</w:t>
            </w:r>
            <w:bookmarkEnd w:id="119"/>
          </w:p>
        </w:tc>
      </w:tr>
      <w:bookmarkEnd w:id="96"/>
    </w:tbl>
    <w:p>
      <w:pPr>
        <w:pStyle w:val="56"/>
        <w:ind w:firstLine="0" w:firstLineChars="0"/>
        <w:sectPr>
          <w:pgSz w:w="11906" w:h="16838"/>
          <w:pgMar w:top="1928" w:right="1134" w:bottom="1134" w:left="1134" w:header="1418" w:footer="1134" w:gutter="284"/>
          <w:cols w:space="425" w:num="1"/>
          <w:formProt w:val="0"/>
          <w:docGrid w:linePitch="312" w:charSpace="0"/>
        </w:sectPr>
      </w:pPr>
    </w:p>
    <w:p>
      <w:pPr>
        <w:pStyle w:val="76"/>
        <w:spacing w:after="120"/>
      </w:pPr>
      <w:r>
        <w:br w:type="textWrapping"/>
      </w:r>
      <w:bookmarkStart w:id="120" w:name="_Toc124409551"/>
      <w:r>
        <w:rPr>
          <w:rFonts w:hint="eastAsia"/>
        </w:rPr>
        <w:t>（资料性）</w:t>
      </w:r>
      <w:r>
        <w:br w:type="textWrapping"/>
      </w:r>
      <w:r>
        <w:rPr>
          <w:rFonts w:hint="eastAsia"/>
        </w:rPr>
        <w:t>方法精密度和准确性汇总</w:t>
      </w:r>
      <w:bookmarkEnd w:id="120"/>
    </w:p>
    <w:p>
      <w:pPr>
        <w:pStyle w:val="77"/>
        <w:numPr>
          <w:ilvl w:val="0"/>
          <w:numId w:val="0"/>
        </w:numPr>
        <w:spacing w:before="120" w:after="120"/>
      </w:pPr>
      <w:r>
        <w:rPr>
          <w:rFonts w:hint="eastAsia" w:ascii="Times New Roman"/>
          <w:color w:val="000000" w:themeColor="text1"/>
          <w14:textFill>
            <w14:solidFill>
              <w14:schemeClr w14:val="tx1"/>
            </w14:solidFill>
          </w14:textFill>
        </w:rPr>
        <w:t>表D.</w:t>
      </w:r>
      <w:r>
        <w:rPr>
          <w:rFonts w:ascii="Times New Roman"/>
          <w:color w:val="000000" w:themeColor="text1"/>
          <w14:textFill>
            <w14:solidFill>
              <w14:schemeClr w14:val="tx1"/>
            </w14:solidFill>
          </w14:textFill>
        </w:rPr>
        <w:t xml:space="preserve">1 </w:t>
      </w:r>
      <w:r>
        <w:rPr>
          <w:rFonts w:hint="eastAsia" w:ascii="Times New Roman"/>
          <w:color w:val="000000" w:themeColor="text1"/>
          <w14:textFill>
            <w14:solidFill>
              <w14:schemeClr w14:val="tx1"/>
            </w14:solidFill>
          </w14:textFill>
        </w:rPr>
        <w:t>方法精密度汇总</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82"/>
        <w:gridCol w:w="992"/>
        <w:gridCol w:w="1276"/>
        <w:gridCol w:w="1276"/>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29"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元素</w:t>
            </w:r>
          </w:p>
        </w:tc>
        <w:tc>
          <w:tcPr>
            <w:tcW w:w="1282" w:type="dxa"/>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样品名称</w:t>
            </w:r>
          </w:p>
        </w:tc>
        <w:tc>
          <w:tcPr>
            <w:tcW w:w="992" w:type="dxa"/>
            <w:shd w:val="clear" w:color="auto" w:fill="auto"/>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平均值(%)</w:t>
            </w:r>
          </w:p>
        </w:tc>
        <w:tc>
          <w:tcPr>
            <w:tcW w:w="1276" w:type="dxa"/>
            <w:shd w:val="clear" w:color="auto" w:fill="auto"/>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实验室内相对标准偏差(%)</w:t>
            </w:r>
          </w:p>
        </w:tc>
        <w:tc>
          <w:tcPr>
            <w:tcW w:w="1276" w:type="dxa"/>
            <w:shd w:val="clear" w:color="auto" w:fill="auto"/>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实验室间相对标准偏差(%)</w:t>
            </w:r>
          </w:p>
        </w:tc>
        <w:tc>
          <w:tcPr>
            <w:tcW w:w="1275" w:type="dxa"/>
            <w:shd w:val="clear" w:color="auto" w:fill="auto"/>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重复性限r(%)</w:t>
            </w:r>
          </w:p>
        </w:tc>
        <w:tc>
          <w:tcPr>
            <w:tcW w:w="1276" w:type="dxa"/>
            <w:shd w:val="clear" w:color="auto" w:fill="auto"/>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再现性限R(%)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9" w:type="dxa"/>
            <w:vMerge w:val="restar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三氧化二铝</w:t>
            </w: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黑龙江友谊县（黑土）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15.51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0.2~0.8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2.0</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甘肃临泽县（灌耕风沙土）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11.28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3.6%</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山东禹城市（潮土）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12.82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0.2~0.4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1.6%</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陕西长武县（黑垆土）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18.38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1.7%</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四川盐亭县(紫色土）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17.47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1.4%</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江西千烟洲（水稻土）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11.70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2.3%</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广州鼎湖山（赤红壤）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18.82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2.5%</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云南西双版纳（砖红壤）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25.59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1.3%</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restar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二氧化硅</w:t>
            </w: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黑龙江友谊县（黑土）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58.82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0.2~0.8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2.2%</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0.76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甘肃临泽县（灌耕风沙土）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68.64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0.05~0.1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1.5%</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山东禹城市（潮土）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60.75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2.1%</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陕西长武县（黑垆土）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58.97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0.2~0.9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1.5%</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0.84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四川盐亭县(紫色土）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64.12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1.3%</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江西千烟洲（水稻土）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77.18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广州鼎湖山（赤红壤）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61.45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1.5%</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云南西双版纳（砖红壤）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52.48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1.8%</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restar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氧化钠</w:t>
            </w: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黑龙江友谊县（黑土）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0.6~3.7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4.6%</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甘肃临泽县（灌耕风沙土）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1.78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0.5~2.6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5.9%</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山东禹城市（潮土）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1.52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0.5~2.4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5.0%</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陕西长武县（黑垆土）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0.7~8.8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14.1%</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四川盐亭县(紫色土）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1.7~10.8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9.1%</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江西千烟洲（水稻土）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4.0~12.2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11.5%</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广州鼎湖山（赤红壤）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3.5~8.9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15.2%</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云南西双版纳（砖红壤）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1.1~2.8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2.9%</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129" w:type="dxa"/>
            <w:vMerge w:val="restar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氧化镁</w:t>
            </w:r>
          </w:p>
        </w:tc>
        <w:tc>
          <w:tcPr>
            <w:tcW w:w="1282" w:type="dxa"/>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黑龙江友谊县（黑土）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1.67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0.5~1.1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3.1%</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甘肃临泽县（灌耕风沙土）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2.30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0.4~1.0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7.3%</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山东禹城市（潮土）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2.42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0.5~0.8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2.5%</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陕西长武县（黑垆土）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0.86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0.4~1.7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2.7%</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四川盐亭县(紫色土）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1.64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0.3~1.1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2.7%</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江西千烟洲（水稻土）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0.80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0.4~1.9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3.8%</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广州鼎湖山（赤红壤）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0.74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0.4~8.3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3.4%</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云南西双版纳（砖红壤）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0.67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0.6~2.8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3.3%</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restar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氧化钙</w:t>
            </w: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黑龙江友谊县（黑土）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2.63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0.4~4.4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5.2%</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甘肃临泽县（灌耕风沙土）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4.78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0.1~3.3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9.8%</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山东禹城市（潮土）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6.25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0.2~4.7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3.6%</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陕西长武县（黑垆土）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2.7~5.8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7.7%</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四川盐亭县(紫色土）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2.33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0.4~2.4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4.0%</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江西千烟洲（水稻土）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2.7~9.2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10.4%</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广州鼎湖山（赤红壤）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2.4~5.2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7.0%</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云南西双版纳（砖红壤）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0.4~1.3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1.3%</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restar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三氧化二铁</w:t>
            </w: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黑龙江友谊县（黑土）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5.89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0.3~2.9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2.4%</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甘肃临泽县（灌耕风沙土）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3.20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3.8%</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山东禹城市（潮土）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4.43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2.0%</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陕西长武县（黑垆土）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6.54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0.2~4.3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2.2%</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四川盐亭县(紫色土）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6.26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2.1%</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江西千烟洲（水稻土）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3.01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1.5%</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广州鼎湖山（赤红壤）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5.30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0.1~1.6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1.6%</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云南西双版纳（砖红壤）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8.79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1.8%</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restar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氧化钾</w:t>
            </w: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黑龙江友谊县（黑土）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2.26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0.6~1.0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1.8%</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甘肃临泽县（灌耕风沙土）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2.31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0.3~0.8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1.7%</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山东禹城市（潮土）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2.29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0.2~0.7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1.4%</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陕西长武县（黑垆土）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2.86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0.2~1.3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0.9%</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四川盐亭县(紫色土）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2.37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0.2~0.7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0.9%</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江西千烟洲（水稻土）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1.57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0.3~0.8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1.8%</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广州鼎湖山（赤红壤）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0.2~0.5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0.7%</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云南西双版纳（砖红壤）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1.60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0.4~1.9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1.3%</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restar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钛</w:t>
            </w: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黑龙江友谊县（黑土）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0.50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0.4~3.0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1.9%</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甘肃临泽县（灌耕风沙土）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0.3~2.0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4.0%</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山东禹城市（潮土）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0.3~0.8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1.6%</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陕西长武县（黑垆土）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0.53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0.2~4.7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四川盐亭县(紫色土）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0.4~0.7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1.3%</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江西千烟洲（水稻土）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0.59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0.2~1.4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2.4%</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广州鼎湖山（赤红壤）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0.61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0.3~4.0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1.9%</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云南西双版纳（砖红壤）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0.64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0.3~0.5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0.02</w:t>
            </w:r>
          </w:p>
        </w:tc>
      </w:tr>
    </w:tbl>
    <w:p>
      <w:pPr>
        <w:pStyle w:val="77"/>
        <w:numPr>
          <w:ilvl w:val="0"/>
          <w:numId w:val="0"/>
        </w:numPr>
        <w:spacing w:before="120" w:after="1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表D.</w:t>
      </w:r>
      <w:r>
        <w:rPr>
          <w:rFonts w:ascii="Times New Roman"/>
          <w:color w:val="000000" w:themeColor="text1"/>
          <w14:textFill>
            <w14:solidFill>
              <w14:schemeClr w14:val="tx1"/>
            </w14:solidFill>
          </w14:textFill>
        </w:rPr>
        <w:t>2</w:t>
      </w:r>
      <w:r>
        <w:rPr>
          <w:rFonts w:hint="eastAsia" w:ascii="Times New Roman"/>
          <w:color w:val="000000" w:themeColor="text1"/>
          <w14:textFill>
            <w14:solidFill>
              <w14:schemeClr w14:val="tx1"/>
            </w14:solidFill>
          </w14:textFill>
        </w:rPr>
        <w:t xml:space="preserve"> 方法的精密度汇总表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82"/>
        <w:gridCol w:w="992"/>
        <w:gridCol w:w="1276"/>
        <w:gridCol w:w="1276"/>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129"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元素</w:t>
            </w:r>
          </w:p>
        </w:tc>
        <w:tc>
          <w:tcPr>
            <w:tcW w:w="1282" w:type="dxa"/>
            <w:shd w:val="clear" w:color="auto" w:fill="auto"/>
            <w:vAlign w:val="center"/>
          </w:tcPr>
          <w:p>
            <w:pPr>
              <w:widowControl/>
              <w:adjustRightInd/>
              <w:spacing w:line="240" w:lineRule="auto"/>
              <w:jc w:val="center"/>
              <w:rPr>
                <w:rFonts w:ascii="Times New Roman" w:hAnsi="Times New Roman"/>
                <w:color w:val="000000"/>
                <w:kern w:val="0"/>
                <w:sz w:val="18"/>
                <w:szCs w:val="18"/>
              </w:rPr>
            </w:pPr>
            <w:r>
              <w:rPr>
                <w:rFonts w:ascii="Times New Roman" w:hAnsi="Times New Roman"/>
                <w:color w:val="000000"/>
                <w:kern w:val="0"/>
                <w:sz w:val="18"/>
                <w:szCs w:val="18"/>
              </w:rPr>
              <w:t>样品名称</w:t>
            </w:r>
          </w:p>
        </w:tc>
        <w:tc>
          <w:tcPr>
            <w:tcW w:w="992" w:type="dxa"/>
            <w:shd w:val="clear" w:color="auto" w:fill="auto"/>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平均值(mg/kg)</w:t>
            </w:r>
          </w:p>
        </w:tc>
        <w:tc>
          <w:tcPr>
            <w:tcW w:w="1276" w:type="dxa"/>
            <w:shd w:val="clear" w:color="auto" w:fill="auto"/>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实验室内相对标准偏差(%)</w:t>
            </w:r>
          </w:p>
        </w:tc>
        <w:tc>
          <w:tcPr>
            <w:tcW w:w="1276" w:type="dxa"/>
            <w:shd w:val="clear" w:color="auto" w:fill="auto"/>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实验室间相对标准偏差(%)</w:t>
            </w:r>
          </w:p>
        </w:tc>
        <w:tc>
          <w:tcPr>
            <w:tcW w:w="1275" w:type="dxa"/>
            <w:shd w:val="clear" w:color="auto" w:fill="auto"/>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重复性限r(mg/kg)</w:t>
            </w:r>
          </w:p>
        </w:tc>
        <w:tc>
          <w:tcPr>
            <w:tcW w:w="1276" w:type="dxa"/>
            <w:shd w:val="clear" w:color="auto" w:fill="auto"/>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再现性限R(mg/kg)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restar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磷</w:t>
            </w: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黑龙江友谊县（黑土）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750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0.7~1.6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3.5%</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25.34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77.51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甘肃临泽县（灌耕风沙土）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525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0.9~1.9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5.7%</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19.35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85.04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山东禹城市（潮土）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844</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0.9~4.0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6.0%</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50.55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148.73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陕西长武县（黑垆土）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527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0.5~1.9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1.6%</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18.36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四川盐亭县(紫色土）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747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0.8~2.0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3.1%</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29.51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71.30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江西千烟洲（水稻土）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242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1.3~4.8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6.2%</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21.77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广州鼎湖山（赤红壤）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336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1.4~4.2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21.96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云南西双版纳（砖红壤）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429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1.1~2.1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1.6%</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19.00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restar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硫</w:t>
            </w: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黑龙江友谊县（黑土）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296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0.8~2.6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2.1%</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14.01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甘肃临泽县（灌耕风沙土）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202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1.1~2.1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9.7%</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9.05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山东禹城市（潮土）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209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0.9~2.6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3.2%</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12.29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陕西长武县（黑垆土）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233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0.9~2.1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1.6%</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9.82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四川盐亭县(紫色土）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213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1.6~4.1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3.8%</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14.59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江西千烟洲（水稻土）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140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1.0~3.1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2.4%</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8.78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广州鼎湖山（赤红壤）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315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0.5~1.5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2.4%</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9.10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云南西双版纳（砖红壤）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172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1.2~3.2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1.5%</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10.95</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restar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锰</w:t>
            </w: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黑龙江友谊县（黑土）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671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0.4~2.6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24.60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甘肃临泽县（灌耕风沙土）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490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0.3~1.0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4.6%</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山东禹城市（潮土）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593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0.6~1.2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1.4%</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16</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陕西长武县（黑垆土）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133</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1.1~4.8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11.1%</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四川盐亭县(紫色土）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540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0.4~0.9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江西千烟洲（水稻土）</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142</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0.4~4.9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3.1%</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广州鼎湖山（赤红壤）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100</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1.7~3.7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4.7%</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129" w:type="dxa"/>
            <w:vMerge w:val="continue"/>
            <w:vAlign w:val="center"/>
          </w:tcPr>
          <w:p>
            <w:pPr>
              <w:widowControl/>
              <w:adjustRightInd/>
              <w:spacing w:line="240" w:lineRule="auto"/>
              <w:jc w:val="left"/>
              <w:rPr>
                <w:rFonts w:ascii="Times New Roman" w:hAnsi="Times New Roman"/>
                <w:kern w:val="0"/>
                <w:sz w:val="18"/>
                <w:szCs w:val="18"/>
              </w:rPr>
            </w:pPr>
          </w:p>
        </w:tc>
        <w:tc>
          <w:tcPr>
            <w:tcW w:w="1282" w:type="dxa"/>
            <w:shd w:val="clear" w:color="auto" w:fill="auto"/>
            <w:vAlign w:val="center"/>
          </w:tcPr>
          <w:p>
            <w:pPr>
              <w:widowControl/>
              <w:adjustRightInd/>
              <w:spacing w:line="240" w:lineRule="auto"/>
              <w:jc w:val="left"/>
              <w:rPr>
                <w:rFonts w:ascii="Times New Roman" w:hAnsi="Times New Roman"/>
                <w:kern w:val="0"/>
                <w:sz w:val="18"/>
                <w:szCs w:val="18"/>
              </w:rPr>
            </w:pPr>
            <w:r>
              <w:rPr>
                <w:rFonts w:ascii="Times New Roman" w:hAnsi="Times New Roman"/>
                <w:kern w:val="0"/>
                <w:sz w:val="18"/>
                <w:szCs w:val="18"/>
              </w:rPr>
              <w:t>云南西双版纳（砖红壤）</w:t>
            </w:r>
          </w:p>
        </w:tc>
        <w:tc>
          <w:tcPr>
            <w:tcW w:w="992"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2968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0.2~0.7</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5.9%</w:t>
            </w:r>
          </w:p>
        </w:tc>
        <w:tc>
          <w:tcPr>
            <w:tcW w:w="1275"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38</w:t>
            </w:r>
          </w:p>
        </w:tc>
        <w:tc>
          <w:tcPr>
            <w:tcW w:w="1276"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493</w:t>
            </w:r>
          </w:p>
        </w:tc>
      </w:tr>
    </w:tbl>
    <w:p>
      <w:pPr>
        <w:widowControl/>
        <w:snapToGrid w:val="0"/>
        <w:spacing w:before="120" w:beforeLines="50" w:after="120" w:afterLines="50" w:line="240" w:lineRule="auto"/>
        <w:jc w:val="center"/>
        <w:textAlignment w:val="baseline"/>
        <w:rPr>
          <w:rFonts w:ascii="Times New Roman" w:hAnsi="Times New Roman" w:eastAsia="黑体"/>
          <w:color w:val="000000" w:themeColor="text1"/>
          <w:kern w:val="21"/>
          <w:szCs w:val="20"/>
          <w14:textFill>
            <w14:solidFill>
              <w14:schemeClr w14:val="tx1"/>
            </w14:solidFill>
          </w14:textFill>
        </w:rPr>
      </w:pPr>
      <w:r>
        <w:rPr>
          <w:rFonts w:ascii="Times New Roman" w:hAnsi="Times New Roman" w:eastAsia="黑体"/>
          <w:color w:val="000000" w:themeColor="text1"/>
          <w:kern w:val="21"/>
          <w:szCs w:val="20"/>
          <w14:textFill>
            <w14:solidFill>
              <w14:schemeClr w14:val="tx1"/>
            </w14:solidFill>
          </w14:textFill>
        </w:rPr>
        <w:t>表D.3 方法的准确度汇总表</w:t>
      </w:r>
    </w:p>
    <w:tbl>
      <w:tblPr>
        <w:tblStyle w:val="26"/>
        <w:tblW w:w="9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1111"/>
        <w:gridCol w:w="1124"/>
        <w:gridCol w:w="992"/>
        <w:gridCol w:w="1169"/>
        <w:gridCol w:w="1051"/>
        <w:gridCol w:w="1124"/>
        <w:gridCol w:w="1002"/>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样品名称</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Al2O3含量</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加标回收率</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SiO2含量</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加标回收率</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Na2O含量</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加标回收率</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MgO含量</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1204"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加标回收率</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GSS7</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29.42</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100.3~100.8</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33.75</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102.6~ 103.7</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0.10</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105.6~126.5</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0.23</w:t>
            </w:r>
          </w:p>
        </w:tc>
        <w:tc>
          <w:tcPr>
            <w:tcW w:w="1204"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84.3~91.4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GSS18</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10.62</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98.7~103.3</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60.50</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99.1~100.8</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3.11</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100.2~103.5</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2.73</w:t>
            </w:r>
          </w:p>
        </w:tc>
        <w:tc>
          <w:tcPr>
            <w:tcW w:w="1204"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104.8~106.5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GSS40</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12.30</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101.4~101.9</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61.67</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102.5~103.5</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1.70</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99.0~102.3</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2.36</w:t>
            </w:r>
          </w:p>
        </w:tc>
        <w:tc>
          <w:tcPr>
            <w:tcW w:w="1204"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100.6~101.5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GSS41</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11.85</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98.9~99.6</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55.29</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102.3~102.6</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1.81</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97.7~100.1</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3.30</w:t>
            </w:r>
          </w:p>
        </w:tc>
        <w:tc>
          <w:tcPr>
            <w:tcW w:w="1204"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102.3~104.3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GSS47</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14.63</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101.4~104.4</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69.48</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100.9~101.8</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1.91</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102.8~105.4</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1.00</w:t>
            </w:r>
          </w:p>
        </w:tc>
        <w:tc>
          <w:tcPr>
            <w:tcW w:w="1204"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104.3~109.5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GSS49</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13.49</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97.5~101.9</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54.44</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101.4~104.2</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1.99</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94.9~110.1</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4.26</w:t>
            </w:r>
          </w:p>
        </w:tc>
        <w:tc>
          <w:tcPr>
            <w:tcW w:w="1204"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98.8~104.6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GSS51</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13.48</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97.9~98.9</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58.52</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98.8~99.8</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2.77</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97.5~100.0</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2.96</w:t>
            </w:r>
          </w:p>
        </w:tc>
        <w:tc>
          <w:tcPr>
            <w:tcW w:w="1204"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110.4~113.8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GSS71</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25.08</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101.8~103.3</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50.12</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101.8~103.4</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0.14</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101.4~118.1</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1.23</w:t>
            </w:r>
          </w:p>
        </w:tc>
        <w:tc>
          <w:tcPr>
            <w:tcW w:w="1204"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102.4~104.0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GSS1a</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12.88</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97.2~101.6</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57.59</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99.6~104.7</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1.65</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98.3~101.5</w:t>
            </w:r>
          </w:p>
        </w:tc>
        <w:tc>
          <w:tcPr>
            <w:tcW w:w="0" w:type="auto"/>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1.11</w:t>
            </w:r>
          </w:p>
        </w:tc>
        <w:tc>
          <w:tcPr>
            <w:tcW w:w="1204" w:type="dxa"/>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92.2~96.6</w:t>
            </w:r>
          </w:p>
        </w:tc>
      </w:tr>
    </w:tbl>
    <w:p>
      <w:pPr>
        <w:widowControl/>
        <w:snapToGrid w:val="0"/>
        <w:spacing w:before="120" w:beforeLines="50" w:after="120" w:afterLines="50" w:line="240" w:lineRule="auto"/>
        <w:jc w:val="center"/>
        <w:textAlignment w:val="baseline"/>
        <w:rPr>
          <w:rFonts w:ascii="Times New Roman" w:hAnsi="Times New Roman" w:eastAsia="黑体"/>
          <w:color w:val="000000" w:themeColor="text1"/>
          <w:kern w:val="21"/>
          <w:szCs w:val="20"/>
          <w14:textFill>
            <w14:solidFill>
              <w14:schemeClr w14:val="tx1"/>
            </w14:solidFill>
          </w14:textFill>
        </w:rPr>
      </w:pPr>
      <w:r>
        <w:rPr>
          <w:rFonts w:ascii="Times New Roman" w:hAnsi="Times New Roman" w:eastAsia="黑体"/>
          <w:color w:val="000000" w:themeColor="text1"/>
          <w:kern w:val="21"/>
          <w:szCs w:val="20"/>
          <w14:textFill>
            <w14:solidFill>
              <w14:schemeClr w14:val="tx1"/>
            </w14:solidFill>
          </w14:textFill>
        </w:rPr>
        <w:t>表D.4 方法的准确度汇总表</w:t>
      </w:r>
    </w:p>
    <w:tbl>
      <w:tblPr>
        <w:tblStyle w:val="26"/>
        <w:tblW w:w="53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973"/>
        <w:gridCol w:w="1152"/>
        <w:gridCol w:w="1138"/>
        <w:gridCol w:w="1152"/>
        <w:gridCol w:w="1132"/>
        <w:gridCol w:w="1152"/>
        <w:gridCol w:w="995"/>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样品名称</w:t>
            </w:r>
          </w:p>
        </w:tc>
        <w:tc>
          <w:tcPr>
            <w:tcW w:w="479"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CaO含量</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加标回收率</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560"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Fe2O3含量</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加标回收率</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55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K2O含量</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56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加标回收率</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490"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Ti含量(%)</w:t>
            </w:r>
          </w:p>
        </w:tc>
        <w:tc>
          <w:tcPr>
            <w:tcW w:w="629"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加标回收率</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GSS7</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479"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0.17</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103.5~105.7</w:t>
            </w:r>
          </w:p>
        </w:tc>
        <w:tc>
          <w:tcPr>
            <w:tcW w:w="560"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19.09</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99.4~103.2</w:t>
            </w:r>
          </w:p>
        </w:tc>
        <w:tc>
          <w:tcPr>
            <w:tcW w:w="55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0.19</w:t>
            </w:r>
          </w:p>
        </w:tc>
        <w:tc>
          <w:tcPr>
            <w:tcW w:w="56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87.9~106.3</w:t>
            </w:r>
          </w:p>
        </w:tc>
        <w:tc>
          <w:tcPr>
            <w:tcW w:w="490"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2.05</w:t>
            </w:r>
          </w:p>
        </w:tc>
        <w:tc>
          <w:tcPr>
            <w:tcW w:w="629"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99.5~101.8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GSS18</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479"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6.99</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99.8~106.6</w:t>
            </w:r>
          </w:p>
        </w:tc>
        <w:tc>
          <w:tcPr>
            <w:tcW w:w="560"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3.66</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97.9~102.8</w:t>
            </w:r>
          </w:p>
        </w:tc>
        <w:tc>
          <w:tcPr>
            <w:tcW w:w="55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2.05</w:t>
            </w:r>
          </w:p>
        </w:tc>
        <w:tc>
          <w:tcPr>
            <w:tcW w:w="56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95.7~98.4</w:t>
            </w:r>
          </w:p>
        </w:tc>
        <w:tc>
          <w:tcPr>
            <w:tcW w:w="490"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0.33</w:t>
            </w:r>
          </w:p>
        </w:tc>
        <w:tc>
          <w:tcPr>
            <w:tcW w:w="629"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99.2~105.3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GSS40</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479"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6.52</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101.1~102.2</w:t>
            </w:r>
          </w:p>
        </w:tc>
        <w:tc>
          <w:tcPr>
            <w:tcW w:w="560"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4.61</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101.6~102.7</w:t>
            </w:r>
          </w:p>
        </w:tc>
        <w:tc>
          <w:tcPr>
            <w:tcW w:w="55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2.43</w:t>
            </w:r>
          </w:p>
        </w:tc>
        <w:tc>
          <w:tcPr>
            <w:tcW w:w="56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98.5~99.1</w:t>
            </w:r>
          </w:p>
        </w:tc>
        <w:tc>
          <w:tcPr>
            <w:tcW w:w="490"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0.40</w:t>
            </w:r>
          </w:p>
        </w:tc>
        <w:tc>
          <w:tcPr>
            <w:tcW w:w="629"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101.5~102.5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GSS41</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479"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9.68</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101.2~106.5</w:t>
            </w:r>
          </w:p>
        </w:tc>
        <w:tc>
          <w:tcPr>
            <w:tcW w:w="560"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4.47</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100.2~102.8</w:t>
            </w:r>
          </w:p>
        </w:tc>
        <w:tc>
          <w:tcPr>
            <w:tcW w:w="55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3.01</w:t>
            </w:r>
          </w:p>
        </w:tc>
        <w:tc>
          <w:tcPr>
            <w:tcW w:w="56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96.4~96.9</w:t>
            </w:r>
          </w:p>
        </w:tc>
        <w:tc>
          <w:tcPr>
            <w:tcW w:w="490"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0.32</w:t>
            </w:r>
          </w:p>
        </w:tc>
        <w:tc>
          <w:tcPr>
            <w:tcW w:w="629"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100.5~102.4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GSS47</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479"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1.06</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98.7~101.6</w:t>
            </w:r>
          </w:p>
        </w:tc>
        <w:tc>
          <w:tcPr>
            <w:tcW w:w="560"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4.03</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99.4~102.4</w:t>
            </w:r>
          </w:p>
        </w:tc>
        <w:tc>
          <w:tcPr>
            <w:tcW w:w="55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3.29</w:t>
            </w:r>
          </w:p>
        </w:tc>
        <w:tc>
          <w:tcPr>
            <w:tcW w:w="56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98.6~101.5</w:t>
            </w:r>
          </w:p>
        </w:tc>
        <w:tc>
          <w:tcPr>
            <w:tcW w:w="490"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0.34</w:t>
            </w:r>
          </w:p>
        </w:tc>
        <w:tc>
          <w:tcPr>
            <w:tcW w:w="629"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100.0~103.1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GSS49</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479"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7.09</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102.5~107.8</w:t>
            </w:r>
          </w:p>
        </w:tc>
        <w:tc>
          <w:tcPr>
            <w:tcW w:w="560"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5.98</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101.8~104.8</w:t>
            </w:r>
          </w:p>
        </w:tc>
        <w:tc>
          <w:tcPr>
            <w:tcW w:w="55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2.62</w:t>
            </w:r>
          </w:p>
        </w:tc>
        <w:tc>
          <w:tcPr>
            <w:tcW w:w="56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96.3~98.5</w:t>
            </w:r>
          </w:p>
        </w:tc>
        <w:tc>
          <w:tcPr>
            <w:tcW w:w="490"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0.36</w:t>
            </w:r>
          </w:p>
        </w:tc>
        <w:tc>
          <w:tcPr>
            <w:tcW w:w="629"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87.9~102.4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GSS51</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479"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5.50</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98.5~103.6</w:t>
            </w:r>
          </w:p>
        </w:tc>
        <w:tc>
          <w:tcPr>
            <w:tcW w:w="560"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4.78</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97.6~99.4</w:t>
            </w:r>
          </w:p>
        </w:tc>
        <w:tc>
          <w:tcPr>
            <w:tcW w:w="55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2.62</w:t>
            </w:r>
          </w:p>
        </w:tc>
        <w:tc>
          <w:tcPr>
            <w:tcW w:w="56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96.7~97.7</w:t>
            </w:r>
          </w:p>
        </w:tc>
        <w:tc>
          <w:tcPr>
            <w:tcW w:w="490"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0.35</w:t>
            </w:r>
          </w:p>
        </w:tc>
        <w:tc>
          <w:tcPr>
            <w:tcW w:w="629"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92.9~95.4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8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GSS71</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479"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0.19</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104.6~106.3</w:t>
            </w:r>
          </w:p>
        </w:tc>
        <w:tc>
          <w:tcPr>
            <w:tcW w:w="560"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10.95</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99.0~100.7</w:t>
            </w:r>
          </w:p>
        </w:tc>
        <w:tc>
          <w:tcPr>
            <w:tcW w:w="55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1.69</w:t>
            </w:r>
          </w:p>
        </w:tc>
        <w:tc>
          <w:tcPr>
            <w:tcW w:w="56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100.9~102.8</w:t>
            </w:r>
          </w:p>
        </w:tc>
        <w:tc>
          <w:tcPr>
            <w:tcW w:w="490"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0.56</w:t>
            </w:r>
          </w:p>
        </w:tc>
        <w:tc>
          <w:tcPr>
            <w:tcW w:w="629"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99.0~101.3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8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GSS1a</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479"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2.87</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97.5~107.9</w:t>
            </w:r>
          </w:p>
        </w:tc>
        <w:tc>
          <w:tcPr>
            <w:tcW w:w="560"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4.37</w:t>
            </w:r>
          </w:p>
        </w:tc>
        <w:tc>
          <w:tcPr>
            <w:tcW w:w="567"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95.9~101.9</w:t>
            </w:r>
          </w:p>
        </w:tc>
        <w:tc>
          <w:tcPr>
            <w:tcW w:w="55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2.78</w:t>
            </w:r>
          </w:p>
        </w:tc>
        <w:tc>
          <w:tcPr>
            <w:tcW w:w="567"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94.6~99.7</w:t>
            </w:r>
          </w:p>
        </w:tc>
        <w:tc>
          <w:tcPr>
            <w:tcW w:w="490"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0.33</w:t>
            </w:r>
          </w:p>
        </w:tc>
        <w:tc>
          <w:tcPr>
            <w:tcW w:w="629" w:type="pct"/>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99.1~104.3</w:t>
            </w:r>
          </w:p>
        </w:tc>
      </w:tr>
    </w:tbl>
    <w:p>
      <w:pPr>
        <w:widowControl/>
        <w:snapToGrid w:val="0"/>
        <w:spacing w:before="120" w:beforeLines="50" w:after="120" w:afterLines="50" w:line="240" w:lineRule="auto"/>
        <w:jc w:val="center"/>
        <w:textAlignment w:val="baseline"/>
        <w:rPr>
          <w:rFonts w:ascii="Times New Roman" w:hAnsi="Times New Roman" w:eastAsia="黑体"/>
          <w:color w:val="000000" w:themeColor="text1"/>
          <w:kern w:val="21"/>
          <w:szCs w:val="20"/>
          <w14:textFill>
            <w14:solidFill>
              <w14:schemeClr w14:val="tx1"/>
            </w14:solidFill>
          </w14:textFill>
        </w:rPr>
      </w:pPr>
      <w:r>
        <w:rPr>
          <w:rFonts w:ascii="Times New Roman" w:hAnsi="Times New Roman" w:eastAsia="黑体"/>
          <w:color w:val="000000" w:themeColor="text1"/>
          <w:kern w:val="21"/>
          <w:szCs w:val="20"/>
          <w14:textFill>
            <w14:solidFill>
              <w14:schemeClr w14:val="tx1"/>
            </w14:solidFill>
          </w14:textFill>
        </w:rPr>
        <w:t>表D.5 方法的准确度汇总表</w:t>
      </w:r>
    </w:p>
    <w:tbl>
      <w:tblPr>
        <w:tblStyle w:val="26"/>
        <w:tblW w:w="53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595"/>
        <w:gridCol w:w="1453"/>
        <w:gridCol w:w="1451"/>
        <w:gridCol w:w="1453"/>
        <w:gridCol w:w="1307"/>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41"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样品名称</w:t>
            </w:r>
          </w:p>
        </w:tc>
        <w:tc>
          <w:tcPr>
            <w:tcW w:w="78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P含量</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(mg/kg)</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加标回收率</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71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S含量</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(mg/kg)</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加标回收率</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c>
          <w:tcPr>
            <w:tcW w:w="643"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Mn含量</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(mg/kg)</w:t>
            </w:r>
          </w:p>
        </w:tc>
        <w:tc>
          <w:tcPr>
            <w:tcW w:w="786"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加标回收率</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1"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GSS7</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78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1089</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92.6~96.1</w:t>
            </w:r>
          </w:p>
        </w:tc>
        <w:tc>
          <w:tcPr>
            <w:tcW w:w="71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232</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91.7~94.2</w:t>
            </w:r>
          </w:p>
        </w:tc>
        <w:tc>
          <w:tcPr>
            <w:tcW w:w="643"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1768</w:t>
            </w:r>
          </w:p>
        </w:tc>
        <w:tc>
          <w:tcPr>
            <w:tcW w:w="786"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93.0~104.2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1"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GSS18</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78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579</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94.6~105.7</w:t>
            </w:r>
          </w:p>
        </w:tc>
        <w:tc>
          <w:tcPr>
            <w:tcW w:w="71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7163</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101.6~102.9</w:t>
            </w:r>
          </w:p>
        </w:tc>
        <w:tc>
          <w:tcPr>
            <w:tcW w:w="643"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525</w:t>
            </w:r>
          </w:p>
        </w:tc>
        <w:tc>
          <w:tcPr>
            <w:tcW w:w="786"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97.4~101.6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1"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GSS40</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78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1324</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102.1~105.2</w:t>
            </w:r>
          </w:p>
        </w:tc>
        <w:tc>
          <w:tcPr>
            <w:tcW w:w="71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291</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103.3~105.8</w:t>
            </w:r>
          </w:p>
        </w:tc>
        <w:tc>
          <w:tcPr>
            <w:tcW w:w="643"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670</w:t>
            </w:r>
          </w:p>
        </w:tc>
        <w:tc>
          <w:tcPr>
            <w:tcW w:w="786"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99.2~102.7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1"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GSS41</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78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920</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98.0~102.8</w:t>
            </w:r>
          </w:p>
        </w:tc>
        <w:tc>
          <w:tcPr>
            <w:tcW w:w="71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2795</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102.7~104.9</w:t>
            </w:r>
          </w:p>
        </w:tc>
        <w:tc>
          <w:tcPr>
            <w:tcW w:w="643"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724</w:t>
            </w:r>
          </w:p>
        </w:tc>
        <w:tc>
          <w:tcPr>
            <w:tcW w:w="786"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99.0~101.7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1"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GSS47</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78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535</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105.2~109.4</w:t>
            </w:r>
          </w:p>
        </w:tc>
        <w:tc>
          <w:tcPr>
            <w:tcW w:w="71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105</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98.7~103.6</w:t>
            </w:r>
          </w:p>
        </w:tc>
        <w:tc>
          <w:tcPr>
            <w:tcW w:w="643"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685</w:t>
            </w:r>
          </w:p>
        </w:tc>
        <w:tc>
          <w:tcPr>
            <w:tcW w:w="786"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95.2~99.5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1"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GSS49</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78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532</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91.4~106.0</w:t>
            </w:r>
          </w:p>
        </w:tc>
        <w:tc>
          <w:tcPr>
            <w:tcW w:w="71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3856</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101.3~106.7</w:t>
            </w:r>
          </w:p>
        </w:tc>
        <w:tc>
          <w:tcPr>
            <w:tcW w:w="643"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875</w:t>
            </w:r>
          </w:p>
        </w:tc>
        <w:tc>
          <w:tcPr>
            <w:tcW w:w="786"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97.7~102.5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1"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GSS51</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78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896</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98.8~103.1</w:t>
            </w:r>
          </w:p>
        </w:tc>
        <w:tc>
          <w:tcPr>
            <w:tcW w:w="71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1239</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96.3~106.8</w:t>
            </w:r>
          </w:p>
        </w:tc>
        <w:tc>
          <w:tcPr>
            <w:tcW w:w="643"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774</w:t>
            </w:r>
          </w:p>
        </w:tc>
        <w:tc>
          <w:tcPr>
            <w:tcW w:w="786"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95.3~98.1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41"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GSS71</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78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566</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96.5~98.9</w:t>
            </w:r>
          </w:p>
        </w:tc>
        <w:tc>
          <w:tcPr>
            <w:tcW w:w="71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182</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97.5~99.7</w:t>
            </w:r>
          </w:p>
        </w:tc>
        <w:tc>
          <w:tcPr>
            <w:tcW w:w="643"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339</w:t>
            </w:r>
          </w:p>
        </w:tc>
        <w:tc>
          <w:tcPr>
            <w:tcW w:w="786"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103.5~114.9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1"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GSS1a</w:t>
            </w:r>
          </w:p>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(n=7)平均值</w:t>
            </w:r>
          </w:p>
        </w:tc>
        <w:tc>
          <w:tcPr>
            <w:tcW w:w="78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2336</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96.5~107.1</w:t>
            </w:r>
          </w:p>
        </w:tc>
        <w:tc>
          <w:tcPr>
            <w:tcW w:w="714"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722</w:t>
            </w:r>
          </w:p>
        </w:tc>
        <w:tc>
          <w:tcPr>
            <w:tcW w:w="715"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96.6~101.6</w:t>
            </w:r>
          </w:p>
        </w:tc>
        <w:tc>
          <w:tcPr>
            <w:tcW w:w="643"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1218</w:t>
            </w:r>
          </w:p>
        </w:tc>
        <w:tc>
          <w:tcPr>
            <w:tcW w:w="786" w:type="pct"/>
            <w:shd w:val="clear" w:color="auto" w:fill="auto"/>
            <w:noWrap/>
            <w:vAlign w:val="center"/>
          </w:tcPr>
          <w:p>
            <w:pPr>
              <w:widowControl/>
              <w:adjustRightInd/>
              <w:spacing w:line="240" w:lineRule="auto"/>
              <w:jc w:val="center"/>
              <w:rPr>
                <w:rFonts w:ascii="Times New Roman" w:hAnsi="Times New Roman"/>
                <w:kern w:val="0"/>
                <w:sz w:val="18"/>
                <w:szCs w:val="18"/>
              </w:rPr>
            </w:pPr>
            <w:r>
              <w:rPr>
                <w:rFonts w:ascii="Times New Roman" w:hAnsi="Times New Roman"/>
                <w:kern w:val="0"/>
                <w:sz w:val="18"/>
                <w:szCs w:val="18"/>
              </w:rPr>
              <w:t>91.2~95.2</w:t>
            </w:r>
          </w:p>
        </w:tc>
      </w:tr>
      <w:bookmarkEnd w:id="89"/>
    </w:tbl>
    <w:p>
      <w:pPr>
        <w:pStyle w:val="56"/>
        <w:ind w:firstLine="0" w:firstLineChars="0"/>
        <w:jc w:val="center"/>
      </w:pPr>
      <w:bookmarkStart w:id="121"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1"/>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105"/>
      <w:suff w:val="nothing"/>
      <w:lvlText w:val="%1%2.%3　"/>
      <w:lvlJc w:val="left"/>
      <w:pPr>
        <w:ind w:left="283" w:firstLine="0"/>
      </w:pPr>
      <w:rPr>
        <w:rFonts w:hint="default" w:ascii="Times New Roman"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864qGXALnwi+sy73XiZQXotL/xR+wRV+gGAg0nv7MlOa6cifBHgZf4amAvXLGNVyawM7vyfq3YQjqlLcg+/ExQ==" w:salt="Ou5I4WJcgwkZZ3Ng35NRf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iODc4Y2E3Yjk4NWZkODJiMTg1ZTI3MGJlZGM5MGEifQ=="/>
  </w:docVars>
  <w:rsids>
    <w:rsidRoot w:val="00766AF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988"/>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0A3"/>
    <w:rsid w:val="00094D73"/>
    <w:rsid w:val="00096D63"/>
    <w:rsid w:val="000A0B60"/>
    <w:rsid w:val="000A0EB8"/>
    <w:rsid w:val="000A19FC"/>
    <w:rsid w:val="000A296B"/>
    <w:rsid w:val="000A7311"/>
    <w:rsid w:val="000B060F"/>
    <w:rsid w:val="000B1592"/>
    <w:rsid w:val="000B1FF2"/>
    <w:rsid w:val="000B3CDA"/>
    <w:rsid w:val="000B4907"/>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6BD1"/>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4C49"/>
    <w:rsid w:val="001457E7"/>
    <w:rsid w:val="00145D9D"/>
    <w:rsid w:val="00146388"/>
    <w:rsid w:val="001529E5"/>
    <w:rsid w:val="00152FB3"/>
    <w:rsid w:val="00153C7E"/>
    <w:rsid w:val="001543CC"/>
    <w:rsid w:val="00154BDC"/>
    <w:rsid w:val="00156487"/>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C8A"/>
    <w:rsid w:val="0017340B"/>
    <w:rsid w:val="00173FB1"/>
    <w:rsid w:val="00176DFD"/>
    <w:rsid w:val="001852C9"/>
    <w:rsid w:val="00187A0B"/>
    <w:rsid w:val="00190087"/>
    <w:rsid w:val="001913C4"/>
    <w:rsid w:val="0019348F"/>
    <w:rsid w:val="00193A07"/>
    <w:rsid w:val="00194C95"/>
    <w:rsid w:val="00195C34"/>
    <w:rsid w:val="00196EF5"/>
    <w:rsid w:val="001A10EC"/>
    <w:rsid w:val="001A1A53"/>
    <w:rsid w:val="001A234A"/>
    <w:rsid w:val="001A4CF3"/>
    <w:rsid w:val="001A6696"/>
    <w:rsid w:val="001B06E8"/>
    <w:rsid w:val="001B1809"/>
    <w:rsid w:val="001B71D0"/>
    <w:rsid w:val="001B71EE"/>
    <w:rsid w:val="001C04A8"/>
    <w:rsid w:val="001C1693"/>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27C5A"/>
    <w:rsid w:val="00233D64"/>
    <w:rsid w:val="0023482A"/>
    <w:rsid w:val="002359CB"/>
    <w:rsid w:val="00243540"/>
    <w:rsid w:val="0024497B"/>
    <w:rsid w:val="0024515B"/>
    <w:rsid w:val="002458D1"/>
    <w:rsid w:val="00246021"/>
    <w:rsid w:val="0024666E"/>
    <w:rsid w:val="00247F52"/>
    <w:rsid w:val="00250B25"/>
    <w:rsid w:val="00250BBE"/>
    <w:rsid w:val="002515C2"/>
    <w:rsid w:val="0025194F"/>
    <w:rsid w:val="002526B8"/>
    <w:rsid w:val="0026148A"/>
    <w:rsid w:val="00262696"/>
    <w:rsid w:val="00263D25"/>
    <w:rsid w:val="002643C3"/>
    <w:rsid w:val="00264A0C"/>
    <w:rsid w:val="00266EEB"/>
    <w:rsid w:val="00267EF4"/>
    <w:rsid w:val="00270CB8"/>
    <w:rsid w:val="00272B08"/>
    <w:rsid w:val="00275208"/>
    <w:rsid w:val="00281BB8"/>
    <w:rsid w:val="00281E9E"/>
    <w:rsid w:val="00282405"/>
    <w:rsid w:val="00285170"/>
    <w:rsid w:val="00285361"/>
    <w:rsid w:val="00291EE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4D4"/>
    <w:rsid w:val="002D79AC"/>
    <w:rsid w:val="002E039D"/>
    <w:rsid w:val="002E4D5A"/>
    <w:rsid w:val="002E6326"/>
    <w:rsid w:val="002F30E0"/>
    <w:rsid w:val="002F35E4"/>
    <w:rsid w:val="002F3730"/>
    <w:rsid w:val="002F38E1"/>
    <w:rsid w:val="002F7AF6"/>
    <w:rsid w:val="00300E63"/>
    <w:rsid w:val="00302F5F"/>
    <w:rsid w:val="0030441D"/>
    <w:rsid w:val="00306063"/>
    <w:rsid w:val="0031299B"/>
    <w:rsid w:val="00313B85"/>
    <w:rsid w:val="00317988"/>
    <w:rsid w:val="00321DA0"/>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1DAC"/>
    <w:rsid w:val="0036429C"/>
    <w:rsid w:val="00364A53"/>
    <w:rsid w:val="003654CB"/>
    <w:rsid w:val="00365AA9"/>
    <w:rsid w:val="00365F86"/>
    <w:rsid w:val="00365F87"/>
    <w:rsid w:val="00366E89"/>
    <w:rsid w:val="003705F4"/>
    <w:rsid w:val="00370D58"/>
    <w:rsid w:val="00371316"/>
    <w:rsid w:val="00376713"/>
    <w:rsid w:val="0038129E"/>
    <w:rsid w:val="00381815"/>
    <w:rsid w:val="003819AF"/>
    <w:rsid w:val="003820E9"/>
    <w:rsid w:val="00382DE7"/>
    <w:rsid w:val="00384FFC"/>
    <w:rsid w:val="003872FC"/>
    <w:rsid w:val="00387333"/>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0DF9"/>
    <w:rsid w:val="003B1F18"/>
    <w:rsid w:val="003B4EA9"/>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2E8E"/>
    <w:rsid w:val="003F3F08"/>
    <w:rsid w:val="003F49F1"/>
    <w:rsid w:val="003F6272"/>
    <w:rsid w:val="003F7B64"/>
    <w:rsid w:val="00400E72"/>
    <w:rsid w:val="00401400"/>
    <w:rsid w:val="00404869"/>
    <w:rsid w:val="00405884"/>
    <w:rsid w:val="00407D39"/>
    <w:rsid w:val="0041477A"/>
    <w:rsid w:val="004167A3"/>
    <w:rsid w:val="00421F68"/>
    <w:rsid w:val="004263DD"/>
    <w:rsid w:val="0043155D"/>
    <w:rsid w:val="00432DAA"/>
    <w:rsid w:val="00434305"/>
    <w:rsid w:val="00435DF7"/>
    <w:rsid w:val="0044083F"/>
    <w:rsid w:val="00441AE7"/>
    <w:rsid w:val="00445128"/>
    <w:rsid w:val="00445574"/>
    <w:rsid w:val="004467FB"/>
    <w:rsid w:val="00452D6B"/>
    <w:rsid w:val="004533BF"/>
    <w:rsid w:val="00454484"/>
    <w:rsid w:val="0045517B"/>
    <w:rsid w:val="00463B77"/>
    <w:rsid w:val="00463C7B"/>
    <w:rsid w:val="004644A6"/>
    <w:rsid w:val="004659BD"/>
    <w:rsid w:val="00466068"/>
    <w:rsid w:val="00470775"/>
    <w:rsid w:val="004746B1"/>
    <w:rsid w:val="0047583F"/>
    <w:rsid w:val="00475DE8"/>
    <w:rsid w:val="00481C44"/>
    <w:rsid w:val="00484936"/>
    <w:rsid w:val="00485C89"/>
    <w:rsid w:val="00486BE3"/>
    <w:rsid w:val="004905E4"/>
    <w:rsid w:val="00490721"/>
    <w:rsid w:val="00490A89"/>
    <w:rsid w:val="00490AB4"/>
    <w:rsid w:val="00492F02"/>
    <w:rsid w:val="004935EB"/>
    <w:rsid w:val="004939AE"/>
    <w:rsid w:val="004A12DF"/>
    <w:rsid w:val="004A1BA8"/>
    <w:rsid w:val="004A4B57"/>
    <w:rsid w:val="004A63FA"/>
    <w:rsid w:val="004A6A3D"/>
    <w:rsid w:val="004B0272"/>
    <w:rsid w:val="004B2701"/>
    <w:rsid w:val="004B2E1B"/>
    <w:rsid w:val="004B3AA8"/>
    <w:rsid w:val="004B3E93"/>
    <w:rsid w:val="004B6509"/>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1D3C"/>
    <w:rsid w:val="004F391A"/>
    <w:rsid w:val="004F3CFB"/>
    <w:rsid w:val="004F5257"/>
    <w:rsid w:val="004F6456"/>
    <w:rsid w:val="004F696E"/>
    <w:rsid w:val="004F6C71"/>
    <w:rsid w:val="00501139"/>
    <w:rsid w:val="0050363E"/>
    <w:rsid w:val="005039BC"/>
    <w:rsid w:val="005043BB"/>
    <w:rsid w:val="00504A3D"/>
    <w:rsid w:val="00505767"/>
    <w:rsid w:val="005073F0"/>
    <w:rsid w:val="00507AEC"/>
    <w:rsid w:val="00510A7B"/>
    <w:rsid w:val="00512F6E"/>
    <w:rsid w:val="00513038"/>
    <w:rsid w:val="00514174"/>
    <w:rsid w:val="00516088"/>
    <w:rsid w:val="00516B0B"/>
    <w:rsid w:val="005220EC"/>
    <w:rsid w:val="00523F95"/>
    <w:rsid w:val="00524D65"/>
    <w:rsid w:val="00525B16"/>
    <w:rsid w:val="0053023F"/>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241F"/>
    <w:rsid w:val="00573D9E"/>
    <w:rsid w:val="005801E3"/>
    <w:rsid w:val="00581802"/>
    <w:rsid w:val="005836A8"/>
    <w:rsid w:val="0058409C"/>
    <w:rsid w:val="00584262"/>
    <w:rsid w:val="00586165"/>
    <w:rsid w:val="00586630"/>
    <w:rsid w:val="00587ADD"/>
    <w:rsid w:val="005932A5"/>
    <w:rsid w:val="00593A49"/>
    <w:rsid w:val="00596160"/>
    <w:rsid w:val="005966E2"/>
    <w:rsid w:val="00597007"/>
    <w:rsid w:val="005A0292"/>
    <w:rsid w:val="005A0966"/>
    <w:rsid w:val="005A11B7"/>
    <w:rsid w:val="005A260B"/>
    <w:rsid w:val="005A4A1B"/>
    <w:rsid w:val="005A7830"/>
    <w:rsid w:val="005A7FCE"/>
    <w:rsid w:val="005B0F3F"/>
    <w:rsid w:val="005B191C"/>
    <w:rsid w:val="005B4903"/>
    <w:rsid w:val="005B51CE"/>
    <w:rsid w:val="005B5885"/>
    <w:rsid w:val="005B5CD7"/>
    <w:rsid w:val="005B5F67"/>
    <w:rsid w:val="005B6CF6"/>
    <w:rsid w:val="005B7422"/>
    <w:rsid w:val="005C29B8"/>
    <w:rsid w:val="005C5F21"/>
    <w:rsid w:val="005C7156"/>
    <w:rsid w:val="005D0C75"/>
    <w:rsid w:val="005D2BED"/>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6F7A"/>
    <w:rsid w:val="00607D29"/>
    <w:rsid w:val="00612952"/>
    <w:rsid w:val="00614CC1"/>
    <w:rsid w:val="006159F1"/>
    <w:rsid w:val="00615A9D"/>
    <w:rsid w:val="00617387"/>
    <w:rsid w:val="006205D6"/>
    <w:rsid w:val="006252D8"/>
    <w:rsid w:val="006259BC"/>
    <w:rsid w:val="0062636B"/>
    <w:rsid w:val="00632182"/>
    <w:rsid w:val="0063264E"/>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6AA"/>
    <w:rsid w:val="006770F4"/>
    <w:rsid w:val="00677A84"/>
    <w:rsid w:val="0068026D"/>
    <w:rsid w:val="00680A27"/>
    <w:rsid w:val="006811C4"/>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00E"/>
    <w:rsid w:val="00724E1B"/>
    <w:rsid w:val="00725949"/>
    <w:rsid w:val="00727FA2"/>
    <w:rsid w:val="0073197D"/>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6AFD"/>
    <w:rsid w:val="007671CA"/>
    <w:rsid w:val="00767C61"/>
    <w:rsid w:val="0077008A"/>
    <w:rsid w:val="00773C1F"/>
    <w:rsid w:val="00774DA4"/>
    <w:rsid w:val="00776599"/>
    <w:rsid w:val="00776C6E"/>
    <w:rsid w:val="007803A2"/>
    <w:rsid w:val="0078114B"/>
    <w:rsid w:val="00781DD2"/>
    <w:rsid w:val="00783ECF"/>
    <w:rsid w:val="0078413A"/>
    <w:rsid w:val="00791AAD"/>
    <w:rsid w:val="007959E8"/>
    <w:rsid w:val="00795E9C"/>
    <w:rsid w:val="007A0521"/>
    <w:rsid w:val="007A2E12"/>
    <w:rsid w:val="007A3475"/>
    <w:rsid w:val="007A41C8"/>
    <w:rsid w:val="007A54CE"/>
    <w:rsid w:val="007A5D3A"/>
    <w:rsid w:val="007A6FD9"/>
    <w:rsid w:val="007A7FFA"/>
    <w:rsid w:val="007B04EB"/>
    <w:rsid w:val="007B0D4F"/>
    <w:rsid w:val="007B3CE0"/>
    <w:rsid w:val="007B5A3D"/>
    <w:rsid w:val="007B5B95"/>
    <w:rsid w:val="007B6032"/>
    <w:rsid w:val="007B68EA"/>
    <w:rsid w:val="007B7453"/>
    <w:rsid w:val="007C2D89"/>
    <w:rsid w:val="007C4593"/>
    <w:rsid w:val="007C4BBC"/>
    <w:rsid w:val="007C5309"/>
    <w:rsid w:val="007C6069"/>
    <w:rsid w:val="007D06C4"/>
    <w:rsid w:val="007D1352"/>
    <w:rsid w:val="007D2508"/>
    <w:rsid w:val="007D346A"/>
    <w:rsid w:val="007D6518"/>
    <w:rsid w:val="007D76BD"/>
    <w:rsid w:val="007E0BF1"/>
    <w:rsid w:val="007E0F7B"/>
    <w:rsid w:val="007F0ED8"/>
    <w:rsid w:val="007F0F63"/>
    <w:rsid w:val="007F75CE"/>
    <w:rsid w:val="007F7777"/>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2A3B"/>
    <w:rsid w:val="0083348C"/>
    <w:rsid w:val="008373D3"/>
    <w:rsid w:val="00840617"/>
    <w:rsid w:val="00840F84"/>
    <w:rsid w:val="00841CB0"/>
    <w:rsid w:val="00842A47"/>
    <w:rsid w:val="00843C13"/>
    <w:rsid w:val="00843DEF"/>
    <w:rsid w:val="008454F8"/>
    <w:rsid w:val="0085173A"/>
    <w:rsid w:val="00854F8B"/>
    <w:rsid w:val="008603CE"/>
    <w:rsid w:val="008620FC"/>
    <w:rsid w:val="008627A5"/>
    <w:rsid w:val="00863E05"/>
    <w:rsid w:val="00865ACA"/>
    <w:rsid w:val="00865D28"/>
    <w:rsid w:val="00865F85"/>
    <w:rsid w:val="00867C10"/>
    <w:rsid w:val="00870439"/>
    <w:rsid w:val="00870DA1"/>
    <w:rsid w:val="0087303A"/>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B77"/>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285"/>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29D6"/>
    <w:rsid w:val="00913CA9"/>
    <w:rsid w:val="009145AE"/>
    <w:rsid w:val="009146CE"/>
    <w:rsid w:val="00914CA7"/>
    <w:rsid w:val="00915C3E"/>
    <w:rsid w:val="009161A8"/>
    <w:rsid w:val="009245AE"/>
    <w:rsid w:val="009245F5"/>
    <w:rsid w:val="009249EC"/>
    <w:rsid w:val="009273B3"/>
    <w:rsid w:val="009305B5"/>
    <w:rsid w:val="009357C0"/>
    <w:rsid w:val="009378DD"/>
    <w:rsid w:val="009420B0"/>
    <w:rsid w:val="009429D5"/>
    <w:rsid w:val="00942BF1"/>
    <w:rsid w:val="00945180"/>
    <w:rsid w:val="00945428"/>
    <w:rsid w:val="0094607B"/>
    <w:rsid w:val="00953604"/>
    <w:rsid w:val="0095496B"/>
    <w:rsid w:val="009602DD"/>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20AB"/>
    <w:rsid w:val="009B6029"/>
    <w:rsid w:val="009B6971"/>
    <w:rsid w:val="009C27F1"/>
    <w:rsid w:val="009C3152"/>
    <w:rsid w:val="009C3257"/>
    <w:rsid w:val="009C3853"/>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50F0"/>
    <w:rsid w:val="00A451AF"/>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359"/>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097E"/>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C35"/>
    <w:rsid w:val="00B4346D"/>
    <w:rsid w:val="00B440F4"/>
    <w:rsid w:val="00B447A5"/>
    <w:rsid w:val="00B4654C"/>
    <w:rsid w:val="00B47293"/>
    <w:rsid w:val="00B50E50"/>
    <w:rsid w:val="00B52120"/>
    <w:rsid w:val="00B52E68"/>
    <w:rsid w:val="00B54ABC"/>
    <w:rsid w:val="00B56FBE"/>
    <w:rsid w:val="00B60ACF"/>
    <w:rsid w:val="00B62B58"/>
    <w:rsid w:val="00B65149"/>
    <w:rsid w:val="00B66567"/>
    <w:rsid w:val="00B66F52"/>
    <w:rsid w:val="00B66FE5"/>
    <w:rsid w:val="00B71F98"/>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B77A4"/>
    <w:rsid w:val="00BC1A4E"/>
    <w:rsid w:val="00BC5DC7"/>
    <w:rsid w:val="00BC6B8B"/>
    <w:rsid w:val="00BC73D8"/>
    <w:rsid w:val="00BC7A1B"/>
    <w:rsid w:val="00BD1E1A"/>
    <w:rsid w:val="00BD52D7"/>
    <w:rsid w:val="00BD5AD2"/>
    <w:rsid w:val="00BE22F3"/>
    <w:rsid w:val="00BE5B52"/>
    <w:rsid w:val="00BE7B8D"/>
    <w:rsid w:val="00BF0797"/>
    <w:rsid w:val="00BF0993"/>
    <w:rsid w:val="00BF10A9"/>
    <w:rsid w:val="00BF1703"/>
    <w:rsid w:val="00BF231C"/>
    <w:rsid w:val="00BF51E5"/>
    <w:rsid w:val="00BF74A6"/>
    <w:rsid w:val="00C013AD"/>
    <w:rsid w:val="00C03A48"/>
    <w:rsid w:val="00C04904"/>
    <w:rsid w:val="00C056B3"/>
    <w:rsid w:val="00C103E5"/>
    <w:rsid w:val="00C13319"/>
    <w:rsid w:val="00C13EE9"/>
    <w:rsid w:val="00C21540"/>
    <w:rsid w:val="00C21906"/>
    <w:rsid w:val="00C21BFA"/>
    <w:rsid w:val="00C24C8D"/>
    <w:rsid w:val="00C25FE2"/>
    <w:rsid w:val="00C26B53"/>
    <w:rsid w:val="00C279B2"/>
    <w:rsid w:val="00C31446"/>
    <w:rsid w:val="00C33E50"/>
    <w:rsid w:val="00C34C20"/>
    <w:rsid w:val="00C35A3E"/>
    <w:rsid w:val="00C42130"/>
    <w:rsid w:val="00C423A4"/>
    <w:rsid w:val="00C423E3"/>
    <w:rsid w:val="00C44BF5"/>
    <w:rsid w:val="00C44DA9"/>
    <w:rsid w:val="00C521D6"/>
    <w:rsid w:val="00C55232"/>
    <w:rsid w:val="00C553A4"/>
    <w:rsid w:val="00C55A06"/>
    <w:rsid w:val="00C55D03"/>
    <w:rsid w:val="00C601BC"/>
    <w:rsid w:val="00C6329F"/>
    <w:rsid w:val="00C63340"/>
    <w:rsid w:val="00C643F9"/>
    <w:rsid w:val="00C64E95"/>
    <w:rsid w:val="00C65527"/>
    <w:rsid w:val="00C71372"/>
    <w:rsid w:val="00C72410"/>
    <w:rsid w:val="00C7287F"/>
    <w:rsid w:val="00C80CB8"/>
    <w:rsid w:val="00C819F8"/>
    <w:rsid w:val="00C8248C"/>
    <w:rsid w:val="00C84E33"/>
    <w:rsid w:val="00C86D6F"/>
    <w:rsid w:val="00C905FC"/>
    <w:rsid w:val="00C92D03"/>
    <w:rsid w:val="00C9319C"/>
    <w:rsid w:val="00C93695"/>
    <w:rsid w:val="00C9435D"/>
    <w:rsid w:val="00C94DF2"/>
    <w:rsid w:val="00C96741"/>
    <w:rsid w:val="00C97169"/>
    <w:rsid w:val="00C97268"/>
    <w:rsid w:val="00CA2D1B"/>
    <w:rsid w:val="00CA375D"/>
    <w:rsid w:val="00CA514A"/>
    <w:rsid w:val="00CA662A"/>
    <w:rsid w:val="00CA7AFD"/>
    <w:rsid w:val="00CA7C3C"/>
    <w:rsid w:val="00CB0189"/>
    <w:rsid w:val="00CB0BA2"/>
    <w:rsid w:val="00CB1A42"/>
    <w:rsid w:val="00CB1B0C"/>
    <w:rsid w:val="00CB2C0B"/>
    <w:rsid w:val="00CB517D"/>
    <w:rsid w:val="00CC038D"/>
    <w:rsid w:val="00CC08DB"/>
    <w:rsid w:val="00CC2EB3"/>
    <w:rsid w:val="00CC39FF"/>
    <w:rsid w:val="00CC3C2F"/>
    <w:rsid w:val="00CC4AC8"/>
    <w:rsid w:val="00CC5233"/>
    <w:rsid w:val="00CC5DE6"/>
    <w:rsid w:val="00CC6E4E"/>
    <w:rsid w:val="00CC6FE8"/>
    <w:rsid w:val="00CC7202"/>
    <w:rsid w:val="00CD2808"/>
    <w:rsid w:val="00CD28BF"/>
    <w:rsid w:val="00CD2A55"/>
    <w:rsid w:val="00CD4092"/>
    <w:rsid w:val="00CD4A20"/>
    <w:rsid w:val="00CD50A1"/>
    <w:rsid w:val="00CD519E"/>
    <w:rsid w:val="00CE0C4F"/>
    <w:rsid w:val="00CE30EA"/>
    <w:rsid w:val="00CF048A"/>
    <w:rsid w:val="00CF155A"/>
    <w:rsid w:val="00CF2947"/>
    <w:rsid w:val="00CF3312"/>
    <w:rsid w:val="00CF40DC"/>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DE4"/>
    <w:rsid w:val="00D51BF3"/>
    <w:rsid w:val="00D66846"/>
    <w:rsid w:val="00D675FB"/>
    <w:rsid w:val="00D71F25"/>
    <w:rsid w:val="00D72A9C"/>
    <w:rsid w:val="00D77031"/>
    <w:rsid w:val="00D81DD7"/>
    <w:rsid w:val="00D84941"/>
    <w:rsid w:val="00D84FA1"/>
    <w:rsid w:val="00D851F0"/>
    <w:rsid w:val="00D86DB7"/>
    <w:rsid w:val="00D87BF5"/>
    <w:rsid w:val="00D90721"/>
    <w:rsid w:val="00D926D0"/>
    <w:rsid w:val="00D93030"/>
    <w:rsid w:val="00D950E1"/>
    <w:rsid w:val="00D952A6"/>
    <w:rsid w:val="00D95569"/>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47C7"/>
    <w:rsid w:val="00E2552F"/>
    <w:rsid w:val="00E27A96"/>
    <w:rsid w:val="00E3137A"/>
    <w:rsid w:val="00E32CCF"/>
    <w:rsid w:val="00E34A98"/>
    <w:rsid w:val="00E350EA"/>
    <w:rsid w:val="00E35D1E"/>
    <w:rsid w:val="00E364F9"/>
    <w:rsid w:val="00E365FA"/>
    <w:rsid w:val="00E36789"/>
    <w:rsid w:val="00E37C0A"/>
    <w:rsid w:val="00E44A83"/>
    <w:rsid w:val="00E502C1"/>
    <w:rsid w:val="00E502DD"/>
    <w:rsid w:val="00E50D3A"/>
    <w:rsid w:val="00E51387"/>
    <w:rsid w:val="00E51E68"/>
    <w:rsid w:val="00E52EFD"/>
    <w:rsid w:val="00E5408A"/>
    <w:rsid w:val="00E56800"/>
    <w:rsid w:val="00E608B5"/>
    <w:rsid w:val="00E60C63"/>
    <w:rsid w:val="00E62FF9"/>
    <w:rsid w:val="00E635D6"/>
    <w:rsid w:val="00E639BC"/>
    <w:rsid w:val="00E664CC"/>
    <w:rsid w:val="00E70388"/>
    <w:rsid w:val="00E70F92"/>
    <w:rsid w:val="00E71CD5"/>
    <w:rsid w:val="00E72C69"/>
    <w:rsid w:val="00E73B1D"/>
    <w:rsid w:val="00E74313"/>
    <w:rsid w:val="00E74C54"/>
    <w:rsid w:val="00E77A03"/>
    <w:rsid w:val="00E822E8"/>
    <w:rsid w:val="00E82554"/>
    <w:rsid w:val="00E82606"/>
    <w:rsid w:val="00E82E2D"/>
    <w:rsid w:val="00E831C1"/>
    <w:rsid w:val="00E846C8"/>
    <w:rsid w:val="00E84957"/>
    <w:rsid w:val="00E84A55"/>
    <w:rsid w:val="00E85BFF"/>
    <w:rsid w:val="00E90391"/>
    <w:rsid w:val="00E906C2"/>
    <w:rsid w:val="00E92A44"/>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6B61"/>
    <w:rsid w:val="00EE7295"/>
    <w:rsid w:val="00EE7869"/>
    <w:rsid w:val="00EF054A"/>
    <w:rsid w:val="00EF3235"/>
    <w:rsid w:val="00EF7E72"/>
    <w:rsid w:val="00F02D75"/>
    <w:rsid w:val="00F06D37"/>
    <w:rsid w:val="00F07B9D"/>
    <w:rsid w:val="00F11586"/>
    <w:rsid w:val="00F1183B"/>
    <w:rsid w:val="00F11C9F"/>
    <w:rsid w:val="00F12263"/>
    <w:rsid w:val="00F1378C"/>
    <w:rsid w:val="00F1409D"/>
    <w:rsid w:val="00F14214"/>
    <w:rsid w:val="00F157A9"/>
    <w:rsid w:val="00F15CF8"/>
    <w:rsid w:val="00F16F00"/>
    <w:rsid w:val="00F224B1"/>
    <w:rsid w:val="00F25BB6"/>
    <w:rsid w:val="00F26B7E"/>
    <w:rsid w:val="00F27A3B"/>
    <w:rsid w:val="00F32780"/>
    <w:rsid w:val="00F33817"/>
    <w:rsid w:val="00F41466"/>
    <w:rsid w:val="00F420D5"/>
    <w:rsid w:val="00F451EA"/>
    <w:rsid w:val="00F45447"/>
    <w:rsid w:val="00F456C6"/>
    <w:rsid w:val="00F4577B"/>
    <w:rsid w:val="00F46496"/>
    <w:rsid w:val="00F474D0"/>
    <w:rsid w:val="00F50179"/>
    <w:rsid w:val="00F515EE"/>
    <w:rsid w:val="00F56511"/>
    <w:rsid w:val="00F6194E"/>
    <w:rsid w:val="00F623AC"/>
    <w:rsid w:val="00F62E10"/>
    <w:rsid w:val="00F63F4E"/>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507"/>
    <w:rsid w:val="00FB0CB9"/>
    <w:rsid w:val="00FB231D"/>
    <w:rsid w:val="00FB45F1"/>
    <w:rsid w:val="00FB4A72"/>
    <w:rsid w:val="00FB54E8"/>
    <w:rsid w:val="00FB7054"/>
    <w:rsid w:val="00FC17B7"/>
    <w:rsid w:val="00FC2CB7"/>
    <w:rsid w:val="00FC2DFB"/>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D5A5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table" w:customStyle="1" w:styleId="230">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78C8E803A8457A891623DF39CB1F68"/>
        <w:style w:val=""/>
        <w:category>
          <w:name w:val="常规"/>
          <w:gallery w:val="placeholder"/>
        </w:category>
        <w:types>
          <w:type w:val="bbPlcHdr"/>
        </w:types>
        <w:behaviors>
          <w:behavior w:val="content"/>
        </w:behaviors>
        <w:description w:val=""/>
        <w:guid w:val="{8AF8FFB9-1E7D-4E63-AC95-04137D5930D0}"/>
      </w:docPartPr>
      <w:docPartBody>
        <w:p>
          <w:pPr>
            <w:pStyle w:val="5"/>
          </w:pPr>
          <w:r>
            <w:rPr>
              <w:rStyle w:val="4"/>
              <w:rFonts w:hint="eastAsia"/>
            </w:rPr>
            <w:t>单击或点击此处输入文字。</w:t>
          </w:r>
        </w:p>
      </w:docPartBody>
    </w:docPart>
    <w:docPart>
      <w:docPartPr>
        <w:name w:val="0D2AA98234C446BBB29325C36766A298"/>
        <w:style w:val=""/>
        <w:category>
          <w:name w:val="常规"/>
          <w:gallery w:val="placeholder"/>
        </w:category>
        <w:types>
          <w:type w:val="bbPlcHdr"/>
        </w:types>
        <w:behaviors>
          <w:behavior w:val="content"/>
        </w:behaviors>
        <w:description w:val=""/>
        <w:guid w:val="{156A5755-4EC5-4EA8-9459-32FA3F79A4EF}"/>
      </w:docPartPr>
      <w:docPartBody>
        <w:p>
          <w:pPr>
            <w:pStyle w:val="6"/>
          </w:pPr>
          <w:r>
            <w:rPr>
              <w:rStyle w:val="4"/>
              <w:rFonts w:hint="eastAsia"/>
            </w:rPr>
            <w:t>选择一项。</w:t>
          </w:r>
        </w:p>
      </w:docPartBody>
    </w:docPart>
    <w:docPart>
      <w:docPartPr>
        <w:name w:val="E34E8BC7B5B7408B8C14604A403118A3"/>
        <w:style w:val=""/>
        <w:category>
          <w:name w:val="常规"/>
          <w:gallery w:val="placeholder"/>
        </w:category>
        <w:types>
          <w:type w:val="bbPlcHdr"/>
        </w:types>
        <w:behaviors>
          <w:behavior w:val="content"/>
        </w:behaviors>
        <w:description w:val=""/>
        <w:guid w:val="{25B5F25B-9C72-4046-8E13-74172886960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9A"/>
    <w:rsid w:val="0009480A"/>
    <w:rsid w:val="00251CAF"/>
    <w:rsid w:val="002C72CC"/>
    <w:rsid w:val="003A3CBD"/>
    <w:rsid w:val="003D4B88"/>
    <w:rsid w:val="00417F65"/>
    <w:rsid w:val="004E7991"/>
    <w:rsid w:val="004F6677"/>
    <w:rsid w:val="005C6502"/>
    <w:rsid w:val="006426EE"/>
    <w:rsid w:val="00644B1F"/>
    <w:rsid w:val="00647EBB"/>
    <w:rsid w:val="006A649A"/>
    <w:rsid w:val="00781A5A"/>
    <w:rsid w:val="00794143"/>
    <w:rsid w:val="00807665"/>
    <w:rsid w:val="00992924"/>
    <w:rsid w:val="009A5242"/>
    <w:rsid w:val="00BB51DB"/>
    <w:rsid w:val="00BC79E4"/>
    <w:rsid w:val="00C656A7"/>
    <w:rsid w:val="00DA6A90"/>
    <w:rsid w:val="00F078A2"/>
    <w:rsid w:val="00FB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578C8E803A8457A891623DF39CB1F6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D2AA98234C446BBB29325C36766A2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34E8BC7B5B7408B8C14604A403118A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D4523-84E2-4210-AA15-C9F455F4CE39}">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16</Pages>
  <Words>5342</Words>
  <Characters>9361</Characters>
  <Lines>88</Lines>
  <Paragraphs>24</Paragraphs>
  <TotalTime>0</TotalTime>
  <ScaleCrop>false</ScaleCrop>
  <LinksUpToDate>false</LinksUpToDate>
  <CharactersWithSpaces>9482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2023-01-15T02:22:00Z</dcterms:created>
  <dc:creator>DELL</dc:creator>
  <dc:description>&lt;config cover="true" show_menu="true" version="1.0.0" doctype="SDKXY"&gt;_x000d_
&lt;/config&gt;</dc:description>
  <cp:lastModifiedBy>xuehui</cp:lastModifiedBy>
  <cp:lastPrinted>2021-02-02T08:22:00Z</cp:lastPrinted>
  <dcterms:modified xsi:type="dcterms:W3CDTF">2023-01-16T05:01:52Z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2052-11.1.0.12980</vt:lpwstr>
  </property>
  <property fmtid="{D5CDD505-2E9C-101B-9397-08002B2CF9AE}" pid="15" name="ICV">
    <vt:lpwstr>51E5932BDCF442B280B5AE41C99923A0</vt:lpwstr>
  </property>
</Properties>
</file>